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Pr="00985158" w:rsidRDefault="00C869F3" w:rsidP="00C869F3">
      <w:pPr>
        <w:spacing w:after="480"/>
        <w:rPr>
          <w:szCs w:val="24"/>
        </w:rPr>
      </w:pPr>
      <w:r w:rsidRPr="00985158">
        <w:rPr>
          <w:noProof/>
          <w:szCs w:val="24"/>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2"/>
        <w:gridCol w:w="4917"/>
      </w:tblGrid>
      <w:tr w:rsidR="00985158" w:rsidRPr="00985158" w14:paraId="322EF0DF" w14:textId="77777777" w:rsidTr="00303795">
        <w:trPr>
          <w:tblHeader/>
        </w:trPr>
        <w:tc>
          <w:tcPr>
            <w:tcW w:w="3392" w:type="dxa"/>
            <w:tcBorders>
              <w:bottom w:val="single" w:sz="18" w:space="0" w:color="auto"/>
            </w:tcBorders>
          </w:tcPr>
          <w:p w14:paraId="10F9A427" w14:textId="77777777" w:rsidR="00333FAA" w:rsidRPr="00985158" w:rsidRDefault="005811F8" w:rsidP="00F06E4E">
            <w:pPr>
              <w:pStyle w:val="Heading1"/>
              <w:spacing w:after="240"/>
              <w:outlineLvl w:val="0"/>
              <w:rPr>
                <w:sz w:val="24"/>
                <w:szCs w:val="24"/>
              </w:rPr>
            </w:pPr>
            <w:r w:rsidRPr="00985158">
              <w:rPr>
                <w:sz w:val="24"/>
                <w:szCs w:val="24"/>
              </w:rPr>
              <w:t>Report for</w:t>
            </w:r>
            <w:r w:rsidR="00333FAA" w:rsidRPr="00985158">
              <w:rPr>
                <w:sz w:val="24"/>
                <w:szCs w:val="24"/>
              </w:rPr>
              <w:t>:</w:t>
            </w:r>
          </w:p>
        </w:tc>
        <w:tc>
          <w:tcPr>
            <w:tcW w:w="4917" w:type="dxa"/>
            <w:tcBorders>
              <w:bottom w:val="single" w:sz="18" w:space="0" w:color="auto"/>
            </w:tcBorders>
          </w:tcPr>
          <w:p w14:paraId="541B30E0" w14:textId="77777777" w:rsidR="00333FAA" w:rsidRPr="00985158" w:rsidRDefault="005811F8" w:rsidP="00F06E4E">
            <w:pPr>
              <w:pStyle w:val="Heading1"/>
              <w:outlineLvl w:val="0"/>
              <w:rPr>
                <w:sz w:val="24"/>
                <w:szCs w:val="24"/>
              </w:rPr>
            </w:pPr>
            <w:r w:rsidRPr="00985158">
              <w:rPr>
                <w:sz w:val="24"/>
                <w:szCs w:val="24"/>
              </w:rPr>
              <w:t>Cabinet</w:t>
            </w:r>
          </w:p>
        </w:tc>
      </w:tr>
      <w:tr w:rsidR="00985158" w:rsidRPr="00985158" w14:paraId="67D60646" w14:textId="77777777" w:rsidTr="00303795">
        <w:tc>
          <w:tcPr>
            <w:tcW w:w="3392" w:type="dxa"/>
            <w:tcBorders>
              <w:top w:val="single" w:sz="18" w:space="0" w:color="auto"/>
            </w:tcBorders>
          </w:tcPr>
          <w:p w14:paraId="4DDB5947" w14:textId="77777777" w:rsidR="00333FAA" w:rsidRPr="00985158" w:rsidRDefault="00333FAA" w:rsidP="00C869F3">
            <w:pPr>
              <w:pStyle w:val="Infotext"/>
              <w:spacing w:after="240"/>
              <w:rPr>
                <w:rFonts w:ascii="Arial Black" w:hAnsi="Arial Black" w:cs="Arial"/>
                <w:sz w:val="24"/>
                <w:szCs w:val="24"/>
              </w:rPr>
            </w:pPr>
            <w:r w:rsidRPr="00985158">
              <w:rPr>
                <w:rFonts w:ascii="Arial Black" w:hAnsi="Arial Black"/>
                <w:sz w:val="24"/>
                <w:szCs w:val="24"/>
              </w:rPr>
              <w:t>Date of Meeting:</w:t>
            </w:r>
          </w:p>
        </w:tc>
        <w:tc>
          <w:tcPr>
            <w:tcW w:w="4917" w:type="dxa"/>
            <w:tcBorders>
              <w:top w:val="single" w:sz="18" w:space="0" w:color="auto"/>
            </w:tcBorders>
          </w:tcPr>
          <w:p w14:paraId="72FCD075" w14:textId="42CE5CF9" w:rsidR="00333FAA" w:rsidRPr="00985158" w:rsidRDefault="001131C0" w:rsidP="00A53B04">
            <w:pPr>
              <w:rPr>
                <w:rFonts w:cs="Arial"/>
                <w:szCs w:val="24"/>
              </w:rPr>
            </w:pPr>
            <w:r w:rsidRPr="00985158">
              <w:rPr>
                <w:rFonts w:cs="Arial"/>
                <w:szCs w:val="24"/>
              </w:rPr>
              <w:t>24</w:t>
            </w:r>
            <w:r w:rsidRPr="00985158">
              <w:rPr>
                <w:rFonts w:cs="Arial"/>
                <w:szCs w:val="24"/>
                <w:vertAlign w:val="superscript"/>
              </w:rPr>
              <w:t>th</w:t>
            </w:r>
            <w:r w:rsidRPr="00985158">
              <w:rPr>
                <w:rFonts w:cs="Arial"/>
                <w:szCs w:val="24"/>
              </w:rPr>
              <w:t xml:space="preserve"> May 2022</w:t>
            </w:r>
          </w:p>
        </w:tc>
      </w:tr>
      <w:tr w:rsidR="00985158" w:rsidRPr="00985158" w14:paraId="3CC97725" w14:textId="77777777" w:rsidTr="00303795">
        <w:tc>
          <w:tcPr>
            <w:tcW w:w="3392" w:type="dxa"/>
          </w:tcPr>
          <w:p w14:paraId="18BB8951" w14:textId="77777777" w:rsidR="00333FAA" w:rsidRPr="00985158" w:rsidRDefault="00333FAA" w:rsidP="00C869F3">
            <w:pPr>
              <w:pStyle w:val="Infotext"/>
              <w:spacing w:after="240"/>
              <w:rPr>
                <w:rFonts w:ascii="Arial Black" w:hAnsi="Arial Black"/>
                <w:sz w:val="24"/>
                <w:szCs w:val="24"/>
              </w:rPr>
            </w:pPr>
            <w:r w:rsidRPr="00985158">
              <w:rPr>
                <w:rFonts w:ascii="Arial Black" w:hAnsi="Arial Black" w:cs="Arial"/>
                <w:sz w:val="24"/>
                <w:szCs w:val="24"/>
              </w:rPr>
              <w:t>Subject:</w:t>
            </w:r>
          </w:p>
        </w:tc>
        <w:tc>
          <w:tcPr>
            <w:tcW w:w="4917" w:type="dxa"/>
          </w:tcPr>
          <w:p w14:paraId="6D8FB2C1" w14:textId="49EA192F" w:rsidR="00333FAA" w:rsidRPr="00985158" w:rsidRDefault="0080127A" w:rsidP="00A53B04">
            <w:pPr>
              <w:rPr>
                <w:rFonts w:cs="Arial"/>
                <w:szCs w:val="24"/>
              </w:rPr>
            </w:pPr>
            <w:r>
              <w:rPr>
                <w:rFonts w:cs="Arial"/>
                <w:szCs w:val="24"/>
              </w:rPr>
              <w:t>Harrow Card</w:t>
            </w:r>
          </w:p>
        </w:tc>
      </w:tr>
      <w:tr w:rsidR="00985158" w:rsidRPr="00985158" w14:paraId="32449166" w14:textId="77777777" w:rsidTr="00303795">
        <w:tc>
          <w:tcPr>
            <w:tcW w:w="3392" w:type="dxa"/>
          </w:tcPr>
          <w:p w14:paraId="17ECA8FA" w14:textId="77777777" w:rsidR="00333FAA" w:rsidRPr="00985158" w:rsidRDefault="00333FAA" w:rsidP="00C869F3">
            <w:pPr>
              <w:pStyle w:val="Infotext"/>
              <w:spacing w:after="240"/>
              <w:rPr>
                <w:rFonts w:ascii="Arial Black" w:hAnsi="Arial Black" w:cs="Arial"/>
                <w:sz w:val="24"/>
                <w:szCs w:val="24"/>
              </w:rPr>
            </w:pPr>
            <w:r w:rsidRPr="00985158">
              <w:rPr>
                <w:rFonts w:ascii="Arial Black" w:hAnsi="Arial Black" w:cs="Arial"/>
                <w:sz w:val="24"/>
                <w:szCs w:val="24"/>
              </w:rPr>
              <w:t>Key Decision:</w:t>
            </w:r>
          </w:p>
        </w:tc>
        <w:tc>
          <w:tcPr>
            <w:tcW w:w="4917" w:type="dxa"/>
          </w:tcPr>
          <w:p w14:paraId="4AE49827" w14:textId="032DA375" w:rsidR="001C7E35" w:rsidRPr="00985158" w:rsidRDefault="00F95151" w:rsidP="001C7E35">
            <w:pPr>
              <w:pStyle w:val="Infotext"/>
              <w:rPr>
                <w:rFonts w:cs="Arial"/>
                <w:sz w:val="24"/>
                <w:szCs w:val="24"/>
              </w:rPr>
            </w:pPr>
            <w:r>
              <w:rPr>
                <w:rFonts w:cs="Arial"/>
                <w:sz w:val="24"/>
                <w:szCs w:val="24"/>
              </w:rPr>
              <w:t>No</w:t>
            </w:r>
          </w:p>
          <w:p w14:paraId="3EADF2B3" w14:textId="77777777" w:rsidR="00333FAA" w:rsidRPr="00985158" w:rsidRDefault="00333FAA" w:rsidP="00A53B04">
            <w:pPr>
              <w:rPr>
                <w:rFonts w:cs="Arial"/>
                <w:szCs w:val="24"/>
              </w:rPr>
            </w:pPr>
          </w:p>
        </w:tc>
      </w:tr>
      <w:tr w:rsidR="00985158" w:rsidRPr="00985158" w14:paraId="79E96200" w14:textId="77777777" w:rsidTr="00303795">
        <w:tc>
          <w:tcPr>
            <w:tcW w:w="3392" w:type="dxa"/>
          </w:tcPr>
          <w:p w14:paraId="0B8ABDC4" w14:textId="77777777" w:rsidR="001C7E35" w:rsidRPr="00985158" w:rsidRDefault="001C7E35" w:rsidP="00C869F3">
            <w:pPr>
              <w:pStyle w:val="Infotext"/>
              <w:spacing w:after="240"/>
              <w:rPr>
                <w:rFonts w:ascii="Arial Black" w:hAnsi="Arial Black" w:cs="Arial"/>
                <w:sz w:val="24"/>
                <w:szCs w:val="24"/>
              </w:rPr>
            </w:pPr>
            <w:r w:rsidRPr="00985158">
              <w:rPr>
                <w:rFonts w:ascii="Arial Black" w:hAnsi="Arial Black" w:cs="Arial"/>
                <w:sz w:val="24"/>
                <w:szCs w:val="24"/>
              </w:rPr>
              <w:t>Responsible Officer:</w:t>
            </w:r>
          </w:p>
        </w:tc>
        <w:tc>
          <w:tcPr>
            <w:tcW w:w="4917" w:type="dxa"/>
          </w:tcPr>
          <w:p w14:paraId="649EB528" w14:textId="35859D88" w:rsidR="001C7E35" w:rsidRDefault="003E5FE9" w:rsidP="00D835CF">
            <w:pPr>
              <w:pStyle w:val="Infotext"/>
              <w:rPr>
                <w:rFonts w:cs="Arial"/>
                <w:sz w:val="24"/>
                <w:szCs w:val="24"/>
              </w:rPr>
            </w:pPr>
            <w:r w:rsidRPr="00985158">
              <w:rPr>
                <w:rFonts w:cs="Arial"/>
                <w:sz w:val="24"/>
                <w:szCs w:val="24"/>
              </w:rPr>
              <w:t>Dipti Patel</w:t>
            </w:r>
            <w:r w:rsidR="000F2D08">
              <w:rPr>
                <w:rFonts w:cs="Arial"/>
                <w:sz w:val="24"/>
                <w:szCs w:val="24"/>
              </w:rPr>
              <w:t xml:space="preserve"> - </w:t>
            </w:r>
            <w:r w:rsidRPr="00985158">
              <w:rPr>
                <w:rFonts w:cs="Arial"/>
                <w:sz w:val="24"/>
                <w:szCs w:val="24"/>
              </w:rPr>
              <w:t xml:space="preserve">Corporate Director </w:t>
            </w:r>
            <w:proofErr w:type="gramStart"/>
            <w:r w:rsidRPr="00985158">
              <w:rPr>
                <w:rFonts w:cs="Arial"/>
                <w:sz w:val="24"/>
                <w:szCs w:val="24"/>
              </w:rPr>
              <w:t>Place</w:t>
            </w:r>
            <w:r w:rsidR="000F2D08">
              <w:rPr>
                <w:rFonts w:cs="Arial"/>
                <w:sz w:val="24"/>
                <w:szCs w:val="24"/>
              </w:rPr>
              <w:t>;</w:t>
            </w:r>
            <w:proofErr w:type="gramEnd"/>
            <w:r w:rsidRPr="00985158">
              <w:rPr>
                <w:rFonts w:cs="Arial"/>
                <w:sz w:val="24"/>
                <w:szCs w:val="24"/>
              </w:rPr>
              <w:t xml:space="preserve"> </w:t>
            </w:r>
          </w:p>
          <w:p w14:paraId="6DE305F5" w14:textId="6CD2A524" w:rsidR="00D1239C" w:rsidRPr="00985158" w:rsidRDefault="00D1239C" w:rsidP="00D835CF">
            <w:pPr>
              <w:pStyle w:val="Infotext"/>
              <w:rPr>
                <w:rFonts w:cs="Arial"/>
                <w:sz w:val="24"/>
                <w:szCs w:val="24"/>
              </w:rPr>
            </w:pPr>
            <w:r>
              <w:rPr>
                <w:rFonts w:cs="Arial"/>
                <w:sz w:val="24"/>
                <w:szCs w:val="24"/>
              </w:rPr>
              <w:t>Mark Billington</w:t>
            </w:r>
            <w:r w:rsidR="000F2D08">
              <w:rPr>
                <w:rFonts w:cs="Arial"/>
                <w:sz w:val="24"/>
                <w:szCs w:val="24"/>
              </w:rPr>
              <w:t xml:space="preserve"> - </w:t>
            </w:r>
            <w:r>
              <w:rPr>
                <w:rFonts w:cs="Arial"/>
                <w:sz w:val="24"/>
                <w:szCs w:val="24"/>
              </w:rPr>
              <w:t>Director Inclusive Economy Leisure &amp; Culture</w:t>
            </w:r>
          </w:p>
          <w:p w14:paraId="3798BF23" w14:textId="77777777" w:rsidR="001C7E35" w:rsidRPr="00985158" w:rsidRDefault="001C7E35" w:rsidP="00D835CF">
            <w:pPr>
              <w:pStyle w:val="Infotext"/>
              <w:rPr>
                <w:rFonts w:cs="Arial"/>
                <w:sz w:val="24"/>
                <w:szCs w:val="24"/>
              </w:rPr>
            </w:pPr>
          </w:p>
        </w:tc>
      </w:tr>
      <w:tr w:rsidR="00985158" w:rsidRPr="00985158" w14:paraId="3B6FD8B1" w14:textId="77777777" w:rsidTr="00303795">
        <w:tc>
          <w:tcPr>
            <w:tcW w:w="3392" w:type="dxa"/>
          </w:tcPr>
          <w:p w14:paraId="0961945D" w14:textId="77777777" w:rsidR="001C7E35" w:rsidRPr="00985158" w:rsidRDefault="001C7E35" w:rsidP="00C869F3">
            <w:pPr>
              <w:pStyle w:val="Infotext"/>
              <w:spacing w:after="240"/>
              <w:rPr>
                <w:rFonts w:ascii="Arial Black" w:hAnsi="Arial Black"/>
                <w:sz w:val="24"/>
                <w:szCs w:val="24"/>
              </w:rPr>
            </w:pPr>
            <w:r w:rsidRPr="00985158">
              <w:rPr>
                <w:rFonts w:ascii="Arial Black" w:hAnsi="Arial Black"/>
                <w:sz w:val="24"/>
                <w:szCs w:val="24"/>
              </w:rPr>
              <w:t>Portfolio Holder:</w:t>
            </w:r>
          </w:p>
        </w:tc>
        <w:tc>
          <w:tcPr>
            <w:tcW w:w="4917" w:type="dxa"/>
          </w:tcPr>
          <w:p w14:paraId="7F8558B9" w14:textId="7BB92BD4" w:rsidR="00CA6AA6" w:rsidRPr="00985158" w:rsidRDefault="00CA6AA6" w:rsidP="00CA6AA6">
            <w:pPr>
              <w:pStyle w:val="Infotext"/>
              <w:rPr>
                <w:rFonts w:cs="Arial"/>
                <w:sz w:val="24"/>
                <w:szCs w:val="24"/>
              </w:rPr>
            </w:pPr>
            <w:r>
              <w:rPr>
                <w:rFonts w:cs="Arial"/>
                <w:sz w:val="24"/>
                <w:szCs w:val="24"/>
              </w:rPr>
              <w:t>Councillor Anjana Patel</w:t>
            </w:r>
            <w:r w:rsidR="000F2D08">
              <w:rPr>
                <w:rFonts w:cs="Arial"/>
                <w:sz w:val="24"/>
                <w:szCs w:val="24"/>
              </w:rPr>
              <w:t xml:space="preserve"> - </w:t>
            </w:r>
            <w:r>
              <w:rPr>
                <w:rFonts w:cs="Arial"/>
                <w:sz w:val="24"/>
                <w:szCs w:val="24"/>
              </w:rPr>
              <w:t xml:space="preserve">Portfolio Holder for Environment &amp; Community Safety </w:t>
            </w:r>
          </w:p>
          <w:p w14:paraId="39A9A01A" w14:textId="7BD7DA1C" w:rsidR="001C7E35" w:rsidRPr="00985158" w:rsidRDefault="001C7E35" w:rsidP="00D835CF">
            <w:pPr>
              <w:pStyle w:val="Infotext"/>
              <w:rPr>
                <w:rFonts w:cs="Arial"/>
                <w:sz w:val="24"/>
                <w:szCs w:val="24"/>
              </w:rPr>
            </w:pPr>
          </w:p>
        </w:tc>
      </w:tr>
      <w:tr w:rsidR="00985158" w:rsidRPr="00985158" w14:paraId="3CF618C8" w14:textId="77777777" w:rsidTr="00303795">
        <w:tc>
          <w:tcPr>
            <w:tcW w:w="3392" w:type="dxa"/>
          </w:tcPr>
          <w:p w14:paraId="4CD8D092" w14:textId="77777777" w:rsidR="001C7E35" w:rsidRPr="00985158" w:rsidRDefault="001C7E35" w:rsidP="00C869F3">
            <w:pPr>
              <w:pStyle w:val="Infotext"/>
              <w:spacing w:after="240"/>
              <w:rPr>
                <w:rFonts w:ascii="Arial Black" w:hAnsi="Arial Black"/>
                <w:sz w:val="24"/>
                <w:szCs w:val="24"/>
              </w:rPr>
            </w:pPr>
            <w:r w:rsidRPr="00985158">
              <w:rPr>
                <w:rFonts w:ascii="Arial Black" w:hAnsi="Arial Black"/>
                <w:sz w:val="24"/>
                <w:szCs w:val="24"/>
              </w:rPr>
              <w:t>Exempt:</w:t>
            </w:r>
          </w:p>
        </w:tc>
        <w:tc>
          <w:tcPr>
            <w:tcW w:w="4917" w:type="dxa"/>
          </w:tcPr>
          <w:p w14:paraId="34C65BD0" w14:textId="7E79CB73" w:rsidR="001C7E35" w:rsidRPr="00985158" w:rsidRDefault="001C7E35" w:rsidP="00D835CF">
            <w:pPr>
              <w:pStyle w:val="Infotext"/>
              <w:rPr>
                <w:rFonts w:cs="Arial"/>
                <w:sz w:val="24"/>
                <w:szCs w:val="24"/>
              </w:rPr>
            </w:pPr>
            <w:r w:rsidRPr="00985158">
              <w:rPr>
                <w:rFonts w:cs="Arial"/>
                <w:sz w:val="24"/>
                <w:szCs w:val="24"/>
              </w:rPr>
              <w:t xml:space="preserve"> No</w:t>
            </w:r>
          </w:p>
          <w:p w14:paraId="755E47D1" w14:textId="77777777" w:rsidR="001C7E35" w:rsidRPr="00985158" w:rsidRDefault="001C7E35" w:rsidP="001131C0">
            <w:pPr>
              <w:pStyle w:val="Infotext"/>
              <w:rPr>
                <w:rFonts w:cs="Arial"/>
                <w:sz w:val="24"/>
                <w:szCs w:val="24"/>
              </w:rPr>
            </w:pPr>
          </w:p>
        </w:tc>
      </w:tr>
      <w:tr w:rsidR="00985158" w:rsidRPr="00985158" w14:paraId="577CD75A" w14:textId="77777777" w:rsidTr="00303795">
        <w:tc>
          <w:tcPr>
            <w:tcW w:w="3392" w:type="dxa"/>
          </w:tcPr>
          <w:p w14:paraId="4821943C" w14:textId="77777777" w:rsidR="001C7E35" w:rsidRPr="00985158" w:rsidRDefault="001C7E35" w:rsidP="00C869F3">
            <w:pPr>
              <w:pStyle w:val="Infotext"/>
              <w:spacing w:after="240"/>
              <w:rPr>
                <w:rFonts w:ascii="Arial Black" w:hAnsi="Arial Black"/>
                <w:sz w:val="24"/>
                <w:szCs w:val="24"/>
              </w:rPr>
            </w:pPr>
            <w:r w:rsidRPr="00985158">
              <w:rPr>
                <w:rFonts w:ascii="Arial Black" w:hAnsi="Arial Black"/>
                <w:sz w:val="24"/>
                <w:szCs w:val="24"/>
              </w:rPr>
              <w:t>Decision subject to Call-in:</w:t>
            </w:r>
          </w:p>
        </w:tc>
        <w:tc>
          <w:tcPr>
            <w:tcW w:w="4917" w:type="dxa"/>
          </w:tcPr>
          <w:p w14:paraId="365BFD2A" w14:textId="34D50095" w:rsidR="00714BEE" w:rsidRPr="00985158" w:rsidRDefault="001131C0" w:rsidP="001131C0">
            <w:pPr>
              <w:pStyle w:val="Infotext"/>
              <w:rPr>
                <w:rFonts w:cs="Arial"/>
                <w:sz w:val="24"/>
                <w:szCs w:val="24"/>
              </w:rPr>
            </w:pPr>
            <w:r w:rsidRPr="00985158">
              <w:rPr>
                <w:rFonts w:cs="Arial"/>
                <w:sz w:val="24"/>
                <w:szCs w:val="24"/>
              </w:rPr>
              <w:t>Yes</w:t>
            </w:r>
          </w:p>
          <w:p w14:paraId="3A75E271" w14:textId="2150DDDC" w:rsidR="001131C0" w:rsidRPr="00985158" w:rsidRDefault="001131C0" w:rsidP="001131C0">
            <w:pPr>
              <w:rPr>
                <w:rFonts w:cs="Arial"/>
                <w:szCs w:val="24"/>
              </w:rPr>
            </w:pPr>
          </w:p>
        </w:tc>
      </w:tr>
      <w:tr w:rsidR="00985158" w:rsidRPr="00985158" w14:paraId="5F1445BF" w14:textId="77777777" w:rsidTr="00303795">
        <w:tc>
          <w:tcPr>
            <w:tcW w:w="3392" w:type="dxa"/>
          </w:tcPr>
          <w:p w14:paraId="0E539C63" w14:textId="5CBACBB4" w:rsidR="001C7E35" w:rsidRPr="00985158" w:rsidRDefault="001C7E35" w:rsidP="00C869F3">
            <w:pPr>
              <w:pStyle w:val="Infotext"/>
              <w:spacing w:after="240"/>
              <w:rPr>
                <w:rFonts w:ascii="Arial Black" w:hAnsi="Arial Black" w:cs="Arial"/>
                <w:sz w:val="24"/>
                <w:szCs w:val="24"/>
              </w:rPr>
            </w:pPr>
          </w:p>
        </w:tc>
        <w:tc>
          <w:tcPr>
            <w:tcW w:w="4917" w:type="dxa"/>
          </w:tcPr>
          <w:p w14:paraId="6668D730" w14:textId="4E807F31" w:rsidR="00FB02C1" w:rsidRPr="00FB02C1" w:rsidRDefault="00FB02C1" w:rsidP="00DB6C3D">
            <w:pPr>
              <w:pStyle w:val="Infotext"/>
              <w:rPr>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985158" w:rsidRPr="00985158" w14:paraId="39320826" w14:textId="77777777" w:rsidTr="000F2D08">
        <w:trPr>
          <w:tblHeader/>
        </w:trPr>
        <w:tc>
          <w:tcPr>
            <w:tcW w:w="8309" w:type="dxa"/>
            <w:tcBorders>
              <w:top w:val="nil"/>
              <w:left w:val="nil"/>
              <w:right w:val="nil"/>
            </w:tcBorders>
          </w:tcPr>
          <w:p w14:paraId="1464FF38" w14:textId="77777777" w:rsidR="000F2D08" w:rsidRDefault="000F2D08" w:rsidP="00605A4C">
            <w:pPr>
              <w:pStyle w:val="Heading2"/>
              <w:spacing w:after="240"/>
            </w:pPr>
          </w:p>
          <w:p w14:paraId="6B49F3DE" w14:textId="77777777" w:rsidR="000F2D08" w:rsidRDefault="000F2D08" w:rsidP="00605A4C">
            <w:pPr>
              <w:pStyle w:val="Heading2"/>
              <w:spacing w:after="240"/>
            </w:pPr>
          </w:p>
          <w:p w14:paraId="3A67BFB3" w14:textId="019FD20D" w:rsidR="00333FAA" w:rsidRPr="00985158" w:rsidRDefault="00333FAA" w:rsidP="00605A4C">
            <w:pPr>
              <w:pStyle w:val="Heading2"/>
              <w:spacing w:after="240"/>
              <w:rPr>
                <w:sz w:val="24"/>
                <w:szCs w:val="24"/>
              </w:rPr>
            </w:pPr>
            <w:r w:rsidRPr="000F2D08">
              <w:t>Section 1 – Summary and Recommendations</w:t>
            </w:r>
          </w:p>
        </w:tc>
      </w:tr>
      <w:tr w:rsidR="00985158" w:rsidRPr="00985158" w14:paraId="5D78E563" w14:textId="77777777" w:rsidTr="000F2D08">
        <w:trPr>
          <w:tblHeader/>
        </w:trPr>
        <w:tc>
          <w:tcPr>
            <w:tcW w:w="8309" w:type="dxa"/>
          </w:tcPr>
          <w:p w14:paraId="4F6F76A4" w14:textId="25698015" w:rsidR="001C7E35" w:rsidRPr="00985158" w:rsidRDefault="001131C0" w:rsidP="00605A4C">
            <w:pPr>
              <w:rPr>
                <w:szCs w:val="24"/>
              </w:rPr>
            </w:pPr>
            <w:r w:rsidRPr="00985158">
              <w:rPr>
                <w:rFonts w:cs="Arial"/>
                <w:szCs w:val="24"/>
              </w:rPr>
              <w:t xml:space="preserve">This report sets out the </w:t>
            </w:r>
            <w:r w:rsidR="0080127A">
              <w:rPr>
                <w:rFonts w:cs="Arial"/>
                <w:szCs w:val="24"/>
              </w:rPr>
              <w:t>rationale for a</w:t>
            </w:r>
            <w:r w:rsidR="00D1239C">
              <w:rPr>
                <w:rFonts w:cs="Arial"/>
                <w:szCs w:val="24"/>
              </w:rPr>
              <w:t xml:space="preserve"> Harrow</w:t>
            </w:r>
            <w:r w:rsidR="0080127A">
              <w:rPr>
                <w:rFonts w:cs="Arial"/>
                <w:szCs w:val="24"/>
              </w:rPr>
              <w:t xml:space="preserve"> Smart Card. </w:t>
            </w:r>
          </w:p>
          <w:p w14:paraId="02274D72" w14:textId="77777777" w:rsidR="001C7E35" w:rsidRPr="00985158" w:rsidRDefault="00605A4C" w:rsidP="00E13BEF">
            <w:pPr>
              <w:pStyle w:val="Heading3"/>
              <w:spacing w:before="240"/>
              <w:rPr>
                <w:sz w:val="24"/>
                <w:szCs w:val="24"/>
              </w:rPr>
            </w:pPr>
            <w:r w:rsidRPr="00985158">
              <w:rPr>
                <w:sz w:val="24"/>
                <w:szCs w:val="24"/>
              </w:rPr>
              <w:t>Recommen</w:t>
            </w:r>
            <w:r w:rsidR="001C7E35" w:rsidRPr="00985158">
              <w:rPr>
                <w:sz w:val="24"/>
                <w:szCs w:val="24"/>
              </w:rPr>
              <w:t xml:space="preserve">dations: </w:t>
            </w:r>
          </w:p>
          <w:p w14:paraId="757EBF5F" w14:textId="550E0FC9" w:rsidR="001131C0" w:rsidRDefault="001C7E35" w:rsidP="00605A4C">
            <w:pPr>
              <w:rPr>
                <w:szCs w:val="24"/>
              </w:rPr>
            </w:pPr>
            <w:r w:rsidRPr="00985158">
              <w:rPr>
                <w:szCs w:val="24"/>
              </w:rPr>
              <w:t>Cabinet is requested to</w:t>
            </w:r>
            <w:r w:rsidR="001131C0" w:rsidRPr="00985158">
              <w:rPr>
                <w:szCs w:val="24"/>
              </w:rPr>
              <w:t xml:space="preserve"> agree</w:t>
            </w:r>
            <w:r w:rsidR="0080127A">
              <w:rPr>
                <w:szCs w:val="24"/>
              </w:rPr>
              <w:t xml:space="preserve"> to</w:t>
            </w:r>
            <w:r w:rsidR="000F2D08">
              <w:rPr>
                <w:szCs w:val="24"/>
              </w:rPr>
              <w:t>:</w:t>
            </w:r>
          </w:p>
          <w:p w14:paraId="1780742E" w14:textId="77777777" w:rsidR="000F2D08" w:rsidRDefault="000F2D08" w:rsidP="00605A4C">
            <w:pPr>
              <w:rPr>
                <w:szCs w:val="24"/>
              </w:rPr>
            </w:pPr>
          </w:p>
          <w:p w14:paraId="313087AD" w14:textId="68F8A8FB" w:rsidR="0000222C" w:rsidRDefault="0000222C" w:rsidP="000F2D08">
            <w:pPr>
              <w:pStyle w:val="ListParagraph"/>
              <w:numPr>
                <w:ilvl w:val="0"/>
                <w:numId w:val="12"/>
              </w:numPr>
              <w:rPr>
                <w:rFonts w:cs="Arial"/>
                <w:szCs w:val="24"/>
              </w:rPr>
            </w:pPr>
            <w:r w:rsidRPr="000F2D08">
              <w:rPr>
                <w:rFonts w:cs="Arial"/>
                <w:szCs w:val="24"/>
              </w:rPr>
              <w:t>Resource a feasibility study detailing the options for the implementation of a Harrow</w:t>
            </w:r>
            <w:r w:rsidR="00D1239C" w:rsidRPr="000F2D08">
              <w:rPr>
                <w:rFonts w:cs="Arial"/>
                <w:szCs w:val="24"/>
              </w:rPr>
              <w:t xml:space="preserve"> Smart</w:t>
            </w:r>
            <w:r w:rsidRPr="000F2D08">
              <w:rPr>
                <w:rFonts w:cs="Arial"/>
                <w:szCs w:val="24"/>
              </w:rPr>
              <w:t xml:space="preserve"> Card</w:t>
            </w:r>
            <w:r w:rsidR="000F2D08">
              <w:rPr>
                <w:rFonts w:cs="Arial"/>
                <w:szCs w:val="24"/>
              </w:rPr>
              <w:t>; and</w:t>
            </w:r>
          </w:p>
          <w:p w14:paraId="267797FA" w14:textId="77777777" w:rsidR="000F2D08" w:rsidRPr="000F2D08" w:rsidRDefault="000F2D08" w:rsidP="000F2D08">
            <w:pPr>
              <w:pStyle w:val="ListParagraph"/>
              <w:rPr>
                <w:rFonts w:cs="Arial"/>
                <w:szCs w:val="24"/>
              </w:rPr>
            </w:pPr>
          </w:p>
          <w:p w14:paraId="2DD1D356" w14:textId="2F4D1C55" w:rsidR="0000222C" w:rsidRPr="0000222C" w:rsidRDefault="0000222C" w:rsidP="0000222C">
            <w:pPr>
              <w:numPr>
                <w:ilvl w:val="0"/>
                <w:numId w:val="12"/>
              </w:numPr>
              <w:rPr>
                <w:rFonts w:ascii="Calibri" w:hAnsi="Calibri" w:cs="Calibri"/>
                <w:szCs w:val="24"/>
              </w:rPr>
            </w:pPr>
            <w:r w:rsidRPr="0000222C">
              <w:rPr>
                <w:rFonts w:cs="Arial"/>
                <w:szCs w:val="24"/>
              </w:rPr>
              <w:t xml:space="preserve">Request a future decision from Cabinet to agree or reject to the introduction of a </w:t>
            </w:r>
            <w:r w:rsidR="00D1239C">
              <w:rPr>
                <w:rFonts w:cs="Arial"/>
                <w:szCs w:val="24"/>
              </w:rPr>
              <w:t xml:space="preserve">Harrow </w:t>
            </w:r>
            <w:r>
              <w:rPr>
                <w:rFonts w:cs="Arial"/>
                <w:szCs w:val="24"/>
              </w:rPr>
              <w:t>Smart</w:t>
            </w:r>
            <w:r w:rsidRPr="0000222C">
              <w:rPr>
                <w:rFonts w:cs="Arial"/>
                <w:szCs w:val="24"/>
              </w:rPr>
              <w:t xml:space="preserve"> Card subject the recommendation of </w:t>
            </w:r>
            <w:r w:rsidR="001F15DD">
              <w:rPr>
                <w:rFonts w:cs="Arial"/>
                <w:szCs w:val="24"/>
              </w:rPr>
              <w:t xml:space="preserve">the </w:t>
            </w:r>
            <w:r w:rsidRPr="0000222C">
              <w:rPr>
                <w:rFonts w:cs="Arial"/>
                <w:szCs w:val="24"/>
              </w:rPr>
              <w:t>feasibility stud</w:t>
            </w:r>
            <w:r>
              <w:rPr>
                <w:rFonts w:cs="Arial"/>
                <w:szCs w:val="24"/>
              </w:rPr>
              <w:t>y</w:t>
            </w:r>
            <w:r w:rsidRPr="0000222C">
              <w:rPr>
                <w:rFonts w:cs="Arial"/>
                <w:szCs w:val="24"/>
              </w:rPr>
              <w:t xml:space="preserve">. </w:t>
            </w:r>
          </w:p>
          <w:p w14:paraId="130A1D51" w14:textId="3A200535" w:rsidR="00591016" w:rsidRPr="00985158" w:rsidRDefault="00591016" w:rsidP="00605A4C">
            <w:pPr>
              <w:rPr>
                <w:szCs w:val="24"/>
              </w:rPr>
            </w:pPr>
          </w:p>
          <w:p w14:paraId="7FB7DF8B" w14:textId="2EF69279" w:rsidR="00333FAA" w:rsidRDefault="00E13BEF" w:rsidP="000F2D08">
            <w:pPr>
              <w:pStyle w:val="Heading3"/>
              <w:ind w:left="0" w:firstLine="0"/>
              <w:jc w:val="left"/>
              <w:rPr>
                <w:szCs w:val="24"/>
              </w:rPr>
            </w:pPr>
            <w:r w:rsidRPr="00985158">
              <w:rPr>
                <w:sz w:val="24"/>
                <w:szCs w:val="24"/>
              </w:rPr>
              <w:t>Reason</w:t>
            </w:r>
            <w:r w:rsidR="000F2D08">
              <w:rPr>
                <w:sz w:val="24"/>
                <w:szCs w:val="24"/>
              </w:rPr>
              <w:t>:</w:t>
            </w:r>
            <w:r w:rsidRPr="00985158">
              <w:rPr>
                <w:sz w:val="24"/>
                <w:szCs w:val="24"/>
              </w:rPr>
              <w:t xml:space="preserve"> </w:t>
            </w:r>
            <w:r w:rsidR="00D1239C" w:rsidRPr="00B71562">
              <w:rPr>
                <w:b w:val="0"/>
                <w:bCs w:val="0"/>
                <w:sz w:val="24"/>
                <w:szCs w:val="24"/>
              </w:rPr>
              <w:t>A</w:t>
            </w:r>
            <w:r w:rsidR="003E5FE9" w:rsidRPr="00985158">
              <w:rPr>
                <w:b w:val="0"/>
                <w:bCs w:val="0"/>
                <w:sz w:val="24"/>
                <w:szCs w:val="24"/>
              </w:rPr>
              <w:t xml:space="preserve"> feasibility study will determine the most </w:t>
            </w:r>
            <w:r w:rsidR="00DB5E2F" w:rsidRPr="00985158">
              <w:rPr>
                <w:b w:val="0"/>
                <w:bCs w:val="0"/>
                <w:sz w:val="24"/>
                <w:szCs w:val="24"/>
              </w:rPr>
              <w:t>cost-effective</w:t>
            </w:r>
            <w:r w:rsidR="000A5A53" w:rsidRPr="00985158">
              <w:rPr>
                <w:b w:val="0"/>
                <w:bCs w:val="0"/>
                <w:sz w:val="24"/>
                <w:szCs w:val="24"/>
              </w:rPr>
              <w:t xml:space="preserve"> way to de</w:t>
            </w:r>
            <w:r w:rsidR="0080127A">
              <w:rPr>
                <w:b w:val="0"/>
                <w:bCs w:val="0"/>
                <w:sz w:val="24"/>
                <w:szCs w:val="24"/>
              </w:rPr>
              <w:t>velop and del</w:t>
            </w:r>
            <w:r w:rsidR="000A5A53" w:rsidRPr="00985158">
              <w:rPr>
                <w:b w:val="0"/>
                <w:bCs w:val="0"/>
                <w:sz w:val="24"/>
                <w:szCs w:val="24"/>
              </w:rPr>
              <w:t xml:space="preserve">iver </w:t>
            </w:r>
            <w:r w:rsidR="0080127A">
              <w:rPr>
                <w:b w:val="0"/>
                <w:bCs w:val="0"/>
                <w:sz w:val="24"/>
                <w:szCs w:val="24"/>
              </w:rPr>
              <w:t xml:space="preserve">a </w:t>
            </w:r>
            <w:r w:rsidR="00D1239C">
              <w:rPr>
                <w:b w:val="0"/>
                <w:bCs w:val="0"/>
                <w:sz w:val="24"/>
                <w:szCs w:val="24"/>
              </w:rPr>
              <w:t xml:space="preserve">Harrow </w:t>
            </w:r>
            <w:r w:rsidR="0000222C">
              <w:rPr>
                <w:b w:val="0"/>
                <w:bCs w:val="0"/>
                <w:sz w:val="24"/>
                <w:szCs w:val="24"/>
              </w:rPr>
              <w:t>Smart</w:t>
            </w:r>
            <w:r w:rsidR="0080127A">
              <w:rPr>
                <w:b w:val="0"/>
                <w:bCs w:val="0"/>
                <w:sz w:val="24"/>
                <w:szCs w:val="24"/>
              </w:rPr>
              <w:t xml:space="preserve"> Card that </w:t>
            </w:r>
            <w:r w:rsidR="003E5FE9" w:rsidRPr="00985158">
              <w:rPr>
                <w:b w:val="0"/>
                <w:bCs w:val="0"/>
                <w:sz w:val="24"/>
                <w:szCs w:val="24"/>
              </w:rPr>
              <w:t xml:space="preserve">benefits </w:t>
            </w:r>
            <w:r w:rsidR="0080127A">
              <w:rPr>
                <w:b w:val="0"/>
                <w:bCs w:val="0"/>
                <w:sz w:val="24"/>
                <w:szCs w:val="24"/>
              </w:rPr>
              <w:t xml:space="preserve">Harrow’s </w:t>
            </w:r>
            <w:r w:rsidR="003E5FE9" w:rsidRPr="00985158">
              <w:rPr>
                <w:b w:val="0"/>
                <w:bCs w:val="0"/>
                <w:sz w:val="24"/>
                <w:szCs w:val="24"/>
              </w:rPr>
              <w:t xml:space="preserve">residents and businesses. </w:t>
            </w:r>
            <w:r w:rsidR="000A5A53" w:rsidRPr="00985158">
              <w:rPr>
                <w:b w:val="0"/>
                <w:bCs w:val="0"/>
                <w:sz w:val="24"/>
                <w:szCs w:val="24"/>
              </w:rPr>
              <w:t xml:space="preserve"> </w:t>
            </w:r>
          </w:p>
          <w:p w14:paraId="313BC81E" w14:textId="09CC5A7B" w:rsidR="0080127A" w:rsidRPr="00985158" w:rsidRDefault="0080127A" w:rsidP="00605A4C">
            <w:pPr>
              <w:rPr>
                <w:szCs w:val="24"/>
              </w:rPr>
            </w:pPr>
          </w:p>
        </w:tc>
      </w:tr>
    </w:tbl>
    <w:p w14:paraId="0204F38A" w14:textId="7CFA5E0A" w:rsidR="00333FAA" w:rsidRPr="000F2D08" w:rsidRDefault="00333FAA" w:rsidP="00F06E4E">
      <w:pPr>
        <w:pStyle w:val="Heading2"/>
        <w:spacing w:before="480"/>
      </w:pPr>
      <w:r w:rsidRPr="000F2D08">
        <w:lastRenderedPageBreak/>
        <w:t>Section 2 – Report</w:t>
      </w:r>
    </w:p>
    <w:p w14:paraId="6128EE56" w14:textId="77777777" w:rsidR="003E5FE9" w:rsidRPr="00985158" w:rsidRDefault="003E5FE9" w:rsidP="001C7E35">
      <w:pPr>
        <w:rPr>
          <w:szCs w:val="24"/>
        </w:rPr>
      </w:pPr>
    </w:p>
    <w:p w14:paraId="191B6630" w14:textId="0EA73416" w:rsidR="00F2465A" w:rsidRDefault="00F2465A" w:rsidP="001C7E35">
      <w:pPr>
        <w:rPr>
          <w:szCs w:val="24"/>
        </w:rPr>
      </w:pPr>
      <w:r>
        <w:rPr>
          <w:szCs w:val="24"/>
        </w:rPr>
        <w:t xml:space="preserve">Our neighbouring Borough of Hillingdon offers a </w:t>
      </w:r>
      <w:proofErr w:type="spellStart"/>
      <w:r>
        <w:rPr>
          <w:szCs w:val="24"/>
        </w:rPr>
        <w:t>HillingdonFirst</w:t>
      </w:r>
      <w:proofErr w:type="spellEnd"/>
      <w:r>
        <w:rPr>
          <w:szCs w:val="24"/>
        </w:rPr>
        <w:t xml:space="preserve"> Residents</w:t>
      </w:r>
      <w:r w:rsidR="007275CC">
        <w:rPr>
          <w:szCs w:val="24"/>
        </w:rPr>
        <w:t>’</w:t>
      </w:r>
      <w:r>
        <w:rPr>
          <w:szCs w:val="24"/>
        </w:rPr>
        <w:t xml:space="preserve"> Card to enable them to offer services and discounts to </w:t>
      </w:r>
      <w:proofErr w:type="gramStart"/>
      <w:r>
        <w:rPr>
          <w:szCs w:val="24"/>
        </w:rPr>
        <w:t>local Residents</w:t>
      </w:r>
      <w:proofErr w:type="gramEnd"/>
      <w:r>
        <w:rPr>
          <w:szCs w:val="24"/>
        </w:rPr>
        <w:t xml:space="preserve">. In Hillingdon the </w:t>
      </w:r>
      <w:proofErr w:type="spellStart"/>
      <w:r>
        <w:rPr>
          <w:szCs w:val="24"/>
        </w:rPr>
        <w:t>HillingdonFirst</w:t>
      </w:r>
      <w:proofErr w:type="spellEnd"/>
      <w:r>
        <w:rPr>
          <w:szCs w:val="24"/>
        </w:rPr>
        <w:t xml:space="preserve"> Card is used to provide discounts on parking, library services and access to leisure centres. It also </w:t>
      </w:r>
      <w:r w:rsidR="00B93778">
        <w:rPr>
          <w:szCs w:val="24"/>
        </w:rPr>
        <w:t>offers discounts on products and services at hundreds of participating businesses.</w:t>
      </w:r>
    </w:p>
    <w:p w14:paraId="5C6E560B" w14:textId="77777777" w:rsidR="00F2465A" w:rsidRDefault="00F2465A" w:rsidP="001C7E35">
      <w:pPr>
        <w:rPr>
          <w:szCs w:val="24"/>
        </w:rPr>
      </w:pPr>
    </w:p>
    <w:p w14:paraId="5A36F951" w14:textId="683EFBC3" w:rsidR="001C7E35" w:rsidRPr="00985158" w:rsidRDefault="00661A25" w:rsidP="001C7E35">
      <w:pPr>
        <w:rPr>
          <w:szCs w:val="24"/>
        </w:rPr>
      </w:pPr>
      <w:r w:rsidRPr="00985158">
        <w:rPr>
          <w:szCs w:val="24"/>
        </w:rPr>
        <w:t xml:space="preserve">Harrow’s </w:t>
      </w:r>
      <w:r w:rsidR="0080127A">
        <w:rPr>
          <w:szCs w:val="24"/>
        </w:rPr>
        <w:t xml:space="preserve">Metropolitan Town Centre and its District Centres are </w:t>
      </w:r>
      <w:r w:rsidRPr="00985158">
        <w:rPr>
          <w:szCs w:val="24"/>
        </w:rPr>
        <w:t>the borough</w:t>
      </w:r>
      <w:r w:rsidR="007275CC">
        <w:rPr>
          <w:szCs w:val="24"/>
        </w:rPr>
        <w:t>’</w:t>
      </w:r>
      <w:r w:rsidRPr="00985158">
        <w:rPr>
          <w:szCs w:val="24"/>
        </w:rPr>
        <w:t xml:space="preserve">s commercial, community and employment hubs. </w:t>
      </w:r>
      <w:r w:rsidR="0080127A">
        <w:rPr>
          <w:szCs w:val="24"/>
        </w:rPr>
        <w:t xml:space="preserve">Over the last two years they have been adversely affected firstly by </w:t>
      </w:r>
      <w:r w:rsidRPr="00985158">
        <w:rPr>
          <w:szCs w:val="24"/>
        </w:rPr>
        <w:t xml:space="preserve">the pandemic and now </w:t>
      </w:r>
      <w:r w:rsidR="0080127A">
        <w:rPr>
          <w:szCs w:val="24"/>
        </w:rPr>
        <w:t xml:space="preserve">by global supply chain issues which are generating inflation. The increasing costs of goods particularly fuel costs is reducing the spending power of our residents. This in turn reduces spend in our High Streets which threaten both businesses and jobs. </w:t>
      </w:r>
      <w:r w:rsidRPr="00985158">
        <w:rPr>
          <w:szCs w:val="24"/>
        </w:rPr>
        <w:t xml:space="preserve">The </w:t>
      </w:r>
      <w:r w:rsidR="000A5A53" w:rsidRPr="00985158">
        <w:rPr>
          <w:szCs w:val="24"/>
        </w:rPr>
        <w:t xml:space="preserve">Harrow Resident </w:t>
      </w:r>
      <w:r w:rsidR="00D1239C">
        <w:rPr>
          <w:szCs w:val="24"/>
        </w:rPr>
        <w:t xml:space="preserve">Smart </w:t>
      </w:r>
      <w:r w:rsidR="000A5A53" w:rsidRPr="00985158">
        <w:rPr>
          <w:szCs w:val="24"/>
        </w:rPr>
        <w:t>Card can provide savings to people that live in the borough</w:t>
      </w:r>
      <w:r w:rsidRPr="00985158">
        <w:rPr>
          <w:szCs w:val="24"/>
        </w:rPr>
        <w:t xml:space="preserve"> and </w:t>
      </w:r>
      <w:r w:rsidR="0080127A">
        <w:rPr>
          <w:szCs w:val="24"/>
        </w:rPr>
        <w:t xml:space="preserve">shop locally, which will </w:t>
      </w:r>
      <w:r w:rsidRPr="00985158">
        <w:rPr>
          <w:szCs w:val="24"/>
        </w:rPr>
        <w:t>stimulate footfall and spend in our High Streets</w:t>
      </w:r>
      <w:r w:rsidR="000A5A53" w:rsidRPr="00985158">
        <w:rPr>
          <w:szCs w:val="24"/>
        </w:rPr>
        <w:t>.</w:t>
      </w:r>
      <w:r w:rsidR="003E5FE9" w:rsidRPr="00985158">
        <w:rPr>
          <w:szCs w:val="24"/>
        </w:rPr>
        <w:t xml:space="preserve"> </w:t>
      </w:r>
      <w:r w:rsidR="00FD1146">
        <w:rPr>
          <w:szCs w:val="24"/>
        </w:rPr>
        <w:t xml:space="preserve">As in Hillingdon it could be used by the Council to provide services in libraries and discounts in parking to Harrow Residents. </w:t>
      </w:r>
      <w:r w:rsidR="003E5FE9" w:rsidRPr="00985158">
        <w:rPr>
          <w:szCs w:val="24"/>
        </w:rPr>
        <w:t>A</w:t>
      </w:r>
      <w:r w:rsidR="005D4A46" w:rsidRPr="00985158">
        <w:rPr>
          <w:szCs w:val="24"/>
        </w:rPr>
        <w:t xml:space="preserve"> feasibility study will determine the most cost</w:t>
      </w:r>
      <w:r w:rsidR="0080127A">
        <w:rPr>
          <w:szCs w:val="24"/>
        </w:rPr>
        <w:t>-</w:t>
      </w:r>
      <w:r w:rsidR="005D4A46" w:rsidRPr="00985158">
        <w:rPr>
          <w:szCs w:val="24"/>
        </w:rPr>
        <w:t>effective way to deliver those benefits</w:t>
      </w:r>
      <w:r w:rsidR="0080127A">
        <w:rPr>
          <w:szCs w:val="24"/>
        </w:rPr>
        <w:t xml:space="preserve"> through the development and implementation of a Harrow Card</w:t>
      </w:r>
      <w:r w:rsidR="005D4A46" w:rsidRPr="00985158">
        <w:rPr>
          <w:szCs w:val="24"/>
        </w:rPr>
        <w:t xml:space="preserve">. </w:t>
      </w:r>
    </w:p>
    <w:p w14:paraId="1D52D816" w14:textId="77777777" w:rsidR="008154B0" w:rsidRPr="00985158" w:rsidRDefault="008154B0" w:rsidP="00333FAA">
      <w:pPr>
        <w:rPr>
          <w:rFonts w:cs="Arial"/>
          <w:szCs w:val="24"/>
        </w:rPr>
      </w:pPr>
    </w:p>
    <w:p w14:paraId="5BFA0D46" w14:textId="31E740DF" w:rsidR="003E5FE9" w:rsidRPr="00985158" w:rsidRDefault="003E5FE9" w:rsidP="00333FAA">
      <w:pPr>
        <w:rPr>
          <w:rFonts w:cs="Arial"/>
          <w:b/>
          <w:bCs/>
          <w:szCs w:val="24"/>
        </w:rPr>
      </w:pPr>
      <w:r w:rsidRPr="00985158">
        <w:rPr>
          <w:rFonts w:cs="Arial"/>
          <w:b/>
          <w:bCs/>
          <w:szCs w:val="24"/>
        </w:rPr>
        <w:t>Background</w:t>
      </w:r>
    </w:p>
    <w:p w14:paraId="0FB071D2" w14:textId="77777777" w:rsidR="003E5FE9" w:rsidRPr="00985158" w:rsidRDefault="003E5FE9" w:rsidP="00333FAA">
      <w:pPr>
        <w:rPr>
          <w:rFonts w:cs="Arial"/>
          <w:b/>
          <w:bCs/>
          <w:szCs w:val="24"/>
        </w:rPr>
      </w:pPr>
    </w:p>
    <w:p w14:paraId="75B73D61" w14:textId="20A490C6" w:rsidR="00386B7C" w:rsidRPr="00985158" w:rsidRDefault="00E11F38" w:rsidP="005D4A46">
      <w:pPr>
        <w:rPr>
          <w:rFonts w:cs="Arial"/>
          <w:szCs w:val="24"/>
        </w:rPr>
      </w:pPr>
      <w:r w:rsidRPr="00985158">
        <w:rPr>
          <w:rFonts w:cs="Arial"/>
          <w:szCs w:val="24"/>
        </w:rPr>
        <w:t xml:space="preserve">A </w:t>
      </w:r>
      <w:r w:rsidR="00386B7C" w:rsidRPr="00985158">
        <w:rPr>
          <w:rFonts w:cs="Arial"/>
          <w:szCs w:val="24"/>
        </w:rPr>
        <w:t xml:space="preserve">single multifunctional Smart </w:t>
      </w:r>
      <w:r w:rsidRPr="00985158">
        <w:rPr>
          <w:rFonts w:cs="Arial"/>
          <w:szCs w:val="24"/>
        </w:rPr>
        <w:t xml:space="preserve">Card can </w:t>
      </w:r>
      <w:r w:rsidR="00386B7C" w:rsidRPr="00985158">
        <w:rPr>
          <w:rFonts w:cs="Arial"/>
          <w:szCs w:val="24"/>
        </w:rPr>
        <w:t xml:space="preserve">provide </w:t>
      </w:r>
      <w:r w:rsidR="003E5FE9" w:rsidRPr="00985158">
        <w:rPr>
          <w:rFonts w:cs="Arial"/>
          <w:szCs w:val="24"/>
        </w:rPr>
        <w:t xml:space="preserve">a single </w:t>
      </w:r>
      <w:r w:rsidR="00386B7C" w:rsidRPr="00985158">
        <w:rPr>
          <w:rFonts w:cs="Arial"/>
          <w:szCs w:val="24"/>
        </w:rPr>
        <w:t xml:space="preserve">access </w:t>
      </w:r>
      <w:r w:rsidR="008154B0">
        <w:rPr>
          <w:rFonts w:cs="Arial"/>
          <w:szCs w:val="24"/>
        </w:rPr>
        <w:t xml:space="preserve">point for residents to </w:t>
      </w:r>
      <w:r w:rsidR="0015394C">
        <w:rPr>
          <w:rFonts w:cs="Arial"/>
          <w:szCs w:val="24"/>
        </w:rPr>
        <w:t>access</w:t>
      </w:r>
      <w:r w:rsidR="008154B0">
        <w:rPr>
          <w:rFonts w:cs="Arial"/>
          <w:szCs w:val="24"/>
        </w:rPr>
        <w:t xml:space="preserve"> free one hour parking, council </w:t>
      </w:r>
      <w:r w:rsidRPr="00985158">
        <w:rPr>
          <w:rFonts w:cs="Arial"/>
          <w:szCs w:val="24"/>
        </w:rPr>
        <w:t>librar</w:t>
      </w:r>
      <w:r w:rsidR="008154B0">
        <w:rPr>
          <w:rFonts w:cs="Arial"/>
          <w:szCs w:val="24"/>
        </w:rPr>
        <w:t xml:space="preserve">y </w:t>
      </w:r>
      <w:r w:rsidR="00386B7C" w:rsidRPr="00985158">
        <w:rPr>
          <w:rFonts w:cs="Arial"/>
          <w:szCs w:val="24"/>
        </w:rPr>
        <w:t xml:space="preserve">and </w:t>
      </w:r>
      <w:r w:rsidRPr="00985158">
        <w:rPr>
          <w:rFonts w:cs="Arial"/>
          <w:szCs w:val="24"/>
        </w:rPr>
        <w:t>leisure services</w:t>
      </w:r>
      <w:r w:rsidR="008154B0">
        <w:rPr>
          <w:rFonts w:cs="Arial"/>
          <w:szCs w:val="24"/>
        </w:rPr>
        <w:t xml:space="preserve"> and benefit from </w:t>
      </w:r>
      <w:r w:rsidR="00386B7C" w:rsidRPr="00985158">
        <w:rPr>
          <w:rFonts w:cs="Arial"/>
          <w:szCs w:val="24"/>
        </w:rPr>
        <w:t xml:space="preserve">offers and promotions from local businesses. </w:t>
      </w:r>
    </w:p>
    <w:p w14:paraId="1E590931" w14:textId="77F5F632" w:rsidR="00386B7C" w:rsidRPr="00985158" w:rsidRDefault="00386B7C" w:rsidP="005D4A46">
      <w:pPr>
        <w:rPr>
          <w:rFonts w:cs="Arial"/>
          <w:szCs w:val="24"/>
        </w:rPr>
      </w:pPr>
    </w:p>
    <w:p w14:paraId="31F2E0A3" w14:textId="771A1B32" w:rsidR="00386B7C" w:rsidRPr="00985158" w:rsidRDefault="00386B7C" w:rsidP="005D4A46">
      <w:pPr>
        <w:rPr>
          <w:rFonts w:cs="Arial"/>
          <w:szCs w:val="24"/>
        </w:rPr>
      </w:pPr>
      <w:r w:rsidRPr="00985158">
        <w:rPr>
          <w:rFonts w:cs="Arial"/>
          <w:szCs w:val="24"/>
        </w:rPr>
        <w:t xml:space="preserve">The introduction of a Harrow </w:t>
      </w:r>
      <w:r w:rsidR="00D1239C">
        <w:rPr>
          <w:rFonts w:cs="Arial"/>
          <w:szCs w:val="24"/>
        </w:rPr>
        <w:t xml:space="preserve">Smart </w:t>
      </w:r>
      <w:r w:rsidRPr="00985158">
        <w:rPr>
          <w:rFonts w:cs="Arial"/>
          <w:szCs w:val="24"/>
        </w:rPr>
        <w:t xml:space="preserve">Card could ensure that the free </w:t>
      </w:r>
      <w:r w:rsidR="000F2D08">
        <w:rPr>
          <w:rFonts w:cs="Arial"/>
          <w:szCs w:val="24"/>
        </w:rPr>
        <w:t xml:space="preserve">one-hour </w:t>
      </w:r>
      <w:r w:rsidRPr="00985158">
        <w:rPr>
          <w:rFonts w:cs="Arial"/>
          <w:szCs w:val="24"/>
        </w:rPr>
        <w:t xml:space="preserve">parking that the council is introducing can be targeted </w:t>
      </w:r>
      <w:r w:rsidR="008154B0">
        <w:rPr>
          <w:rFonts w:cs="Arial"/>
          <w:szCs w:val="24"/>
        </w:rPr>
        <w:t xml:space="preserve">specifically </w:t>
      </w:r>
      <w:r w:rsidRPr="00985158">
        <w:rPr>
          <w:rFonts w:cs="Arial"/>
          <w:szCs w:val="24"/>
        </w:rPr>
        <w:t>to Harrow residents.</w:t>
      </w:r>
      <w:r w:rsidR="007F3A77" w:rsidRPr="00985158">
        <w:rPr>
          <w:rFonts w:cs="Arial"/>
          <w:szCs w:val="24"/>
        </w:rPr>
        <w:t xml:space="preserve"> </w:t>
      </w:r>
      <w:r w:rsidR="008154B0">
        <w:rPr>
          <w:rFonts w:cs="Arial"/>
          <w:szCs w:val="24"/>
        </w:rPr>
        <w:t xml:space="preserve">The integration of </w:t>
      </w:r>
      <w:r w:rsidR="007F3A77" w:rsidRPr="00985158">
        <w:rPr>
          <w:rFonts w:cs="Arial"/>
          <w:szCs w:val="24"/>
        </w:rPr>
        <w:t xml:space="preserve">access to parking, leisure and libraries </w:t>
      </w:r>
      <w:r w:rsidR="008154B0">
        <w:rPr>
          <w:rFonts w:cs="Arial"/>
          <w:szCs w:val="24"/>
        </w:rPr>
        <w:t xml:space="preserve">through a single card can </w:t>
      </w:r>
      <w:r w:rsidR="007F3A77" w:rsidRPr="00985158">
        <w:rPr>
          <w:rFonts w:cs="Arial"/>
          <w:szCs w:val="24"/>
        </w:rPr>
        <w:t xml:space="preserve">also declutter the number of cards that people need to carry with them. A Harrow </w:t>
      </w:r>
      <w:r w:rsidR="00D1239C">
        <w:rPr>
          <w:rFonts w:cs="Arial"/>
          <w:szCs w:val="24"/>
        </w:rPr>
        <w:t xml:space="preserve">smart </w:t>
      </w:r>
      <w:r w:rsidR="007F3A77" w:rsidRPr="00985158">
        <w:rPr>
          <w:rFonts w:cs="Arial"/>
          <w:szCs w:val="24"/>
        </w:rPr>
        <w:t>Card c</w:t>
      </w:r>
      <w:r w:rsidRPr="00985158">
        <w:rPr>
          <w:rFonts w:cs="Arial"/>
          <w:szCs w:val="24"/>
        </w:rPr>
        <w:t xml:space="preserve">ould </w:t>
      </w:r>
      <w:r w:rsidR="007F3A77" w:rsidRPr="00985158">
        <w:rPr>
          <w:rFonts w:cs="Arial"/>
          <w:szCs w:val="24"/>
        </w:rPr>
        <w:t xml:space="preserve">also </w:t>
      </w:r>
      <w:r w:rsidRPr="00985158">
        <w:rPr>
          <w:rFonts w:cs="Arial"/>
          <w:szCs w:val="24"/>
        </w:rPr>
        <w:t>enable local businesses to target their promotion</w:t>
      </w:r>
      <w:r w:rsidR="007F3A77" w:rsidRPr="00985158">
        <w:rPr>
          <w:rFonts w:cs="Arial"/>
          <w:szCs w:val="24"/>
        </w:rPr>
        <w:t>s</w:t>
      </w:r>
      <w:r w:rsidRPr="00985158">
        <w:rPr>
          <w:rFonts w:cs="Arial"/>
          <w:szCs w:val="24"/>
        </w:rPr>
        <w:t xml:space="preserve"> to residents. </w:t>
      </w:r>
      <w:r w:rsidR="008154B0">
        <w:rPr>
          <w:rFonts w:cs="Arial"/>
          <w:szCs w:val="24"/>
        </w:rPr>
        <w:t>The combination to access to one hour</w:t>
      </w:r>
      <w:r w:rsidR="007B296A">
        <w:rPr>
          <w:rFonts w:cs="Arial"/>
          <w:szCs w:val="24"/>
        </w:rPr>
        <w:t>’</w:t>
      </w:r>
      <w:r w:rsidR="008154B0">
        <w:rPr>
          <w:rFonts w:cs="Arial"/>
          <w:szCs w:val="24"/>
        </w:rPr>
        <w:t xml:space="preserve">s free parking and the local shopping offers </w:t>
      </w:r>
      <w:r w:rsidR="004C3002">
        <w:rPr>
          <w:rFonts w:cs="Arial"/>
          <w:szCs w:val="24"/>
        </w:rPr>
        <w:t xml:space="preserve">will provide a stimulus to encourage residents to spend their money in Harrow. Every pound spent locally will have a multiplier effect as money circulates in the Harrow economy. </w:t>
      </w:r>
      <w:r w:rsidRPr="00985158">
        <w:rPr>
          <w:rFonts w:cs="Arial"/>
          <w:szCs w:val="24"/>
        </w:rPr>
        <w:t xml:space="preserve">There is </w:t>
      </w:r>
      <w:r w:rsidR="004C3002">
        <w:rPr>
          <w:rFonts w:cs="Arial"/>
          <w:szCs w:val="24"/>
        </w:rPr>
        <w:t xml:space="preserve">therefore </w:t>
      </w:r>
      <w:r w:rsidRPr="00985158">
        <w:rPr>
          <w:rFonts w:cs="Arial"/>
          <w:szCs w:val="24"/>
        </w:rPr>
        <w:t xml:space="preserve">a strong economic rationale for the introduction of such a Smart Card.   </w:t>
      </w:r>
    </w:p>
    <w:p w14:paraId="36A1CB03" w14:textId="77777777" w:rsidR="00386B7C" w:rsidRPr="00985158" w:rsidRDefault="00386B7C" w:rsidP="005D4A46">
      <w:pPr>
        <w:rPr>
          <w:rFonts w:cs="Arial"/>
          <w:szCs w:val="24"/>
        </w:rPr>
      </w:pPr>
    </w:p>
    <w:p w14:paraId="48C39B1C" w14:textId="52D1E99F" w:rsidR="007F3A77" w:rsidRPr="00985158" w:rsidRDefault="007F3A77" w:rsidP="005D4A46">
      <w:pPr>
        <w:rPr>
          <w:rFonts w:cs="Arial"/>
          <w:b/>
          <w:bCs/>
          <w:szCs w:val="24"/>
        </w:rPr>
      </w:pPr>
      <w:r w:rsidRPr="00985158">
        <w:rPr>
          <w:rFonts w:cs="Arial"/>
          <w:b/>
          <w:bCs/>
          <w:szCs w:val="24"/>
        </w:rPr>
        <w:t>Why a Change is needed</w:t>
      </w:r>
    </w:p>
    <w:p w14:paraId="2A2C7B31" w14:textId="77777777" w:rsidR="007F3A77" w:rsidRPr="00985158" w:rsidRDefault="007F3A77" w:rsidP="005D4A46">
      <w:pPr>
        <w:rPr>
          <w:rFonts w:cs="Arial"/>
          <w:szCs w:val="24"/>
        </w:rPr>
      </w:pPr>
    </w:p>
    <w:p w14:paraId="0A88F80F" w14:textId="33CD9ABE" w:rsidR="005D4A46" w:rsidRPr="00985158" w:rsidRDefault="005D4A46" w:rsidP="0043290E">
      <w:pPr>
        <w:rPr>
          <w:rFonts w:cs="Arial"/>
          <w:szCs w:val="24"/>
        </w:rPr>
      </w:pPr>
      <w:r w:rsidRPr="00985158">
        <w:rPr>
          <w:rFonts w:cs="Arial"/>
          <w:szCs w:val="24"/>
        </w:rPr>
        <w:t xml:space="preserve">The pandemic affected footfall and spend across London and the UK, which has led to an increase in empty shops. </w:t>
      </w:r>
      <w:r w:rsidR="0043290E">
        <w:rPr>
          <w:rFonts w:cs="Arial"/>
          <w:szCs w:val="24"/>
        </w:rPr>
        <w:t xml:space="preserve">The adverse impact of changing shopping patterns is now being accelerated by the economic uncertainty generated by rising energy costs, global supply chain problems and rising inflation. </w:t>
      </w:r>
    </w:p>
    <w:p w14:paraId="72F09D30" w14:textId="13CB400A" w:rsidR="00E11F38" w:rsidRPr="00985158" w:rsidRDefault="00E11F38" w:rsidP="005D4A46">
      <w:pPr>
        <w:rPr>
          <w:rFonts w:cs="Arial"/>
          <w:szCs w:val="24"/>
        </w:rPr>
      </w:pPr>
    </w:p>
    <w:p w14:paraId="533C746E" w14:textId="3498BB7D" w:rsidR="00E11F38" w:rsidRPr="00985158" w:rsidRDefault="0043290E" w:rsidP="00E11F38">
      <w:pPr>
        <w:rPr>
          <w:rFonts w:cs="Arial"/>
          <w:szCs w:val="24"/>
        </w:rPr>
      </w:pPr>
      <w:r>
        <w:rPr>
          <w:rFonts w:cs="Arial"/>
          <w:szCs w:val="24"/>
        </w:rPr>
        <w:t>I</w:t>
      </w:r>
      <w:r w:rsidR="00E11F38" w:rsidRPr="00985158">
        <w:rPr>
          <w:rFonts w:cs="Arial"/>
          <w:szCs w:val="24"/>
        </w:rPr>
        <w:t xml:space="preserve">nitiatives such as the Welcome Back Fund, </w:t>
      </w:r>
      <w:r>
        <w:rPr>
          <w:rFonts w:cs="Arial"/>
          <w:szCs w:val="24"/>
        </w:rPr>
        <w:t xml:space="preserve">grants to </w:t>
      </w:r>
      <w:r w:rsidR="00E11F38" w:rsidRPr="00985158">
        <w:rPr>
          <w:rFonts w:cs="Arial"/>
          <w:szCs w:val="24"/>
        </w:rPr>
        <w:t xml:space="preserve">support </w:t>
      </w:r>
      <w:r>
        <w:rPr>
          <w:rFonts w:cs="Arial"/>
          <w:szCs w:val="24"/>
        </w:rPr>
        <w:t xml:space="preserve">the HA1 BID, to help local businesses, and to develop </w:t>
      </w:r>
      <w:r w:rsidR="00E11F38" w:rsidRPr="00985158">
        <w:rPr>
          <w:rFonts w:cs="Arial"/>
          <w:szCs w:val="24"/>
        </w:rPr>
        <w:t>local Traders Associations</w:t>
      </w:r>
      <w:r>
        <w:rPr>
          <w:rFonts w:cs="Arial"/>
          <w:szCs w:val="24"/>
        </w:rPr>
        <w:t xml:space="preserve"> </w:t>
      </w:r>
      <w:r w:rsidR="00E11F38" w:rsidRPr="00985158">
        <w:rPr>
          <w:rFonts w:cs="Arial"/>
          <w:szCs w:val="24"/>
        </w:rPr>
        <w:t>have been used as tools to support Harrow</w:t>
      </w:r>
      <w:r w:rsidR="00484E51">
        <w:rPr>
          <w:rFonts w:cs="Arial"/>
          <w:szCs w:val="24"/>
        </w:rPr>
        <w:t>’</w:t>
      </w:r>
      <w:r w:rsidR="00E11F38" w:rsidRPr="00985158">
        <w:rPr>
          <w:rFonts w:cs="Arial"/>
          <w:szCs w:val="24"/>
        </w:rPr>
        <w:t xml:space="preserve">s High Streets. The </w:t>
      </w:r>
      <w:r>
        <w:rPr>
          <w:rFonts w:cs="Arial"/>
          <w:szCs w:val="24"/>
        </w:rPr>
        <w:t xml:space="preserve">current economic uncertainty requires a new tool to support our businesses and help residents. </w:t>
      </w:r>
      <w:r>
        <w:rPr>
          <w:rFonts w:cs="Arial"/>
          <w:szCs w:val="24"/>
        </w:rPr>
        <w:lastRenderedPageBreak/>
        <w:t xml:space="preserve">The </w:t>
      </w:r>
      <w:r w:rsidR="00E11F38" w:rsidRPr="00985158">
        <w:rPr>
          <w:rFonts w:cs="Arial"/>
          <w:szCs w:val="24"/>
        </w:rPr>
        <w:t xml:space="preserve">introduction of a Harrow </w:t>
      </w:r>
      <w:r w:rsidR="00D1239C">
        <w:rPr>
          <w:rFonts w:cs="Arial"/>
          <w:szCs w:val="24"/>
        </w:rPr>
        <w:t>smart c</w:t>
      </w:r>
      <w:r w:rsidR="00E11F38" w:rsidRPr="00985158">
        <w:rPr>
          <w:rFonts w:cs="Arial"/>
          <w:szCs w:val="24"/>
        </w:rPr>
        <w:t>ard would build upon th</w:t>
      </w:r>
      <w:r w:rsidR="003E5FE9" w:rsidRPr="00985158">
        <w:rPr>
          <w:rFonts w:cs="Arial"/>
          <w:szCs w:val="24"/>
        </w:rPr>
        <w:t>at work and help deliver th</w:t>
      </w:r>
      <w:r w:rsidR="00E11F38" w:rsidRPr="00985158">
        <w:rPr>
          <w:rFonts w:cs="Arial"/>
          <w:szCs w:val="24"/>
        </w:rPr>
        <w:t xml:space="preserve">e objectives of Harrow’s Economic Strategy to support </w:t>
      </w:r>
    </w:p>
    <w:p w14:paraId="577B779A" w14:textId="77777777" w:rsidR="003E5FE9" w:rsidRPr="00985158" w:rsidRDefault="003E5FE9" w:rsidP="00E11F38">
      <w:pPr>
        <w:rPr>
          <w:rFonts w:cs="Arial"/>
          <w:szCs w:val="24"/>
        </w:rPr>
      </w:pPr>
    </w:p>
    <w:p w14:paraId="254D9922" w14:textId="65CBB71B" w:rsidR="005D4A46" w:rsidRPr="00985158" w:rsidRDefault="005D4A46" w:rsidP="007F3A77">
      <w:pPr>
        <w:pStyle w:val="ListParagraph"/>
        <w:numPr>
          <w:ilvl w:val="0"/>
          <w:numId w:val="10"/>
        </w:numPr>
        <w:rPr>
          <w:szCs w:val="24"/>
        </w:rPr>
      </w:pPr>
      <w:r w:rsidRPr="00985158">
        <w:rPr>
          <w:szCs w:val="24"/>
        </w:rPr>
        <w:t>Small and Medium sized enterprises to grow  </w:t>
      </w:r>
    </w:p>
    <w:p w14:paraId="2CF8816C" w14:textId="77777777" w:rsidR="005D4A46" w:rsidRPr="00985158" w:rsidRDefault="005D4A46" w:rsidP="007F3A77">
      <w:pPr>
        <w:numPr>
          <w:ilvl w:val="0"/>
          <w:numId w:val="9"/>
        </w:numPr>
        <w:rPr>
          <w:szCs w:val="24"/>
        </w:rPr>
      </w:pPr>
      <w:r w:rsidRPr="00985158">
        <w:rPr>
          <w:szCs w:val="24"/>
        </w:rPr>
        <w:t xml:space="preserve">Ensure Vibrant town and district centres </w:t>
      </w:r>
    </w:p>
    <w:p w14:paraId="5431E6BB" w14:textId="77777777" w:rsidR="00E11F38" w:rsidRPr="00985158" w:rsidRDefault="00E11F38" w:rsidP="005D4A46">
      <w:pPr>
        <w:rPr>
          <w:rFonts w:eastAsiaTheme="minorHAnsi"/>
          <w:szCs w:val="24"/>
        </w:rPr>
      </w:pPr>
    </w:p>
    <w:p w14:paraId="5489DE6E" w14:textId="34C38C9A" w:rsidR="005D4A46" w:rsidRDefault="007F3A77" w:rsidP="005D4A46">
      <w:pPr>
        <w:rPr>
          <w:rFonts w:eastAsiaTheme="minorHAnsi"/>
          <w:szCs w:val="24"/>
        </w:rPr>
      </w:pPr>
      <w:r w:rsidRPr="00985158">
        <w:rPr>
          <w:rFonts w:eastAsiaTheme="minorHAnsi"/>
          <w:szCs w:val="24"/>
        </w:rPr>
        <w:t xml:space="preserve">The need for local measures to support businesses has become more pressing with the increased </w:t>
      </w:r>
      <w:r w:rsidR="00E11F38" w:rsidRPr="00985158">
        <w:rPr>
          <w:rFonts w:eastAsiaTheme="minorHAnsi"/>
          <w:szCs w:val="24"/>
        </w:rPr>
        <w:t>inflationary pressures</w:t>
      </w:r>
      <w:r w:rsidRPr="00985158">
        <w:rPr>
          <w:rFonts w:eastAsiaTheme="minorHAnsi"/>
          <w:szCs w:val="24"/>
        </w:rPr>
        <w:t xml:space="preserve"> faced by both our residents and our businesses. Those pressures impact on </w:t>
      </w:r>
      <w:r w:rsidR="003E5FE9" w:rsidRPr="00985158">
        <w:rPr>
          <w:rFonts w:eastAsiaTheme="minorHAnsi"/>
          <w:szCs w:val="24"/>
        </w:rPr>
        <w:t xml:space="preserve">the </w:t>
      </w:r>
      <w:r w:rsidRPr="00985158">
        <w:rPr>
          <w:rFonts w:eastAsiaTheme="minorHAnsi"/>
          <w:szCs w:val="24"/>
        </w:rPr>
        <w:t xml:space="preserve">disposable incomes </w:t>
      </w:r>
      <w:r w:rsidR="003E5FE9" w:rsidRPr="00985158">
        <w:rPr>
          <w:rFonts w:eastAsiaTheme="minorHAnsi"/>
          <w:szCs w:val="24"/>
        </w:rPr>
        <w:t>of residents</w:t>
      </w:r>
      <w:r w:rsidR="001E7281" w:rsidRPr="00985158">
        <w:rPr>
          <w:rFonts w:eastAsiaTheme="minorHAnsi"/>
          <w:szCs w:val="24"/>
        </w:rPr>
        <w:t xml:space="preserve">. A Smart Card </w:t>
      </w:r>
      <w:r w:rsidR="0043290E">
        <w:rPr>
          <w:rFonts w:eastAsiaTheme="minorHAnsi"/>
          <w:szCs w:val="24"/>
        </w:rPr>
        <w:t xml:space="preserve">provides </w:t>
      </w:r>
      <w:r w:rsidRPr="00985158">
        <w:rPr>
          <w:rFonts w:eastAsiaTheme="minorHAnsi"/>
          <w:szCs w:val="24"/>
        </w:rPr>
        <w:t xml:space="preserve">the council </w:t>
      </w:r>
      <w:r w:rsidR="0043290E">
        <w:rPr>
          <w:rFonts w:eastAsiaTheme="minorHAnsi"/>
          <w:szCs w:val="24"/>
        </w:rPr>
        <w:t xml:space="preserve">with the means to </w:t>
      </w:r>
      <w:r w:rsidRPr="00985158">
        <w:rPr>
          <w:rFonts w:eastAsiaTheme="minorHAnsi"/>
          <w:szCs w:val="24"/>
        </w:rPr>
        <w:t xml:space="preserve">reduce the cost of shopping locally by </w:t>
      </w:r>
      <w:r w:rsidR="001E7281" w:rsidRPr="00985158">
        <w:rPr>
          <w:rFonts w:eastAsiaTheme="minorHAnsi"/>
          <w:szCs w:val="24"/>
        </w:rPr>
        <w:t>targeting the offer of one hours free parking to residents</w:t>
      </w:r>
      <w:r w:rsidR="0043290E">
        <w:rPr>
          <w:rFonts w:eastAsiaTheme="minorHAnsi"/>
          <w:szCs w:val="24"/>
        </w:rPr>
        <w:t xml:space="preserve">. It will also provide </w:t>
      </w:r>
      <w:r w:rsidR="001E7281" w:rsidRPr="00985158">
        <w:rPr>
          <w:rFonts w:eastAsiaTheme="minorHAnsi"/>
          <w:szCs w:val="24"/>
        </w:rPr>
        <w:t xml:space="preserve">a means for Harrow businesses to promote their offers to residents. </w:t>
      </w:r>
      <w:r w:rsidR="00E11F38" w:rsidRPr="00985158">
        <w:rPr>
          <w:rFonts w:eastAsiaTheme="minorHAnsi"/>
          <w:szCs w:val="24"/>
        </w:rPr>
        <w:t xml:space="preserve"> </w:t>
      </w:r>
    </w:p>
    <w:p w14:paraId="4CF5B973" w14:textId="09D851E3" w:rsidR="00BC3E44" w:rsidRDefault="00BC3E44" w:rsidP="005D4A46">
      <w:pPr>
        <w:rPr>
          <w:rFonts w:eastAsiaTheme="minorHAnsi"/>
          <w:szCs w:val="24"/>
        </w:rPr>
      </w:pPr>
    </w:p>
    <w:p w14:paraId="4ACA3486" w14:textId="3B65E149" w:rsidR="00BC3E44" w:rsidRPr="00985158" w:rsidRDefault="00BC3E44" w:rsidP="005D4A46">
      <w:pPr>
        <w:rPr>
          <w:rFonts w:eastAsiaTheme="minorHAnsi"/>
          <w:szCs w:val="24"/>
        </w:rPr>
      </w:pPr>
      <w:r>
        <w:rPr>
          <w:rFonts w:eastAsiaTheme="minorHAnsi"/>
          <w:szCs w:val="24"/>
        </w:rPr>
        <w:t xml:space="preserve">A Harrow </w:t>
      </w:r>
      <w:r w:rsidR="00D1239C">
        <w:rPr>
          <w:rFonts w:eastAsiaTheme="minorHAnsi"/>
          <w:szCs w:val="24"/>
        </w:rPr>
        <w:t xml:space="preserve">smart </w:t>
      </w:r>
      <w:r>
        <w:rPr>
          <w:rFonts w:eastAsiaTheme="minorHAnsi"/>
          <w:szCs w:val="24"/>
        </w:rPr>
        <w:t xml:space="preserve">Card linked to an app on Smart phones could revolutionise the way in which local independent businesses could generate offers for their goods and services which in turn could be promoted automatically through a Harrow Card app. </w:t>
      </w:r>
    </w:p>
    <w:p w14:paraId="0E24D202" w14:textId="48D53DA7" w:rsidR="000A5A53" w:rsidRPr="00985158" w:rsidRDefault="000A5A53" w:rsidP="00333FAA">
      <w:pPr>
        <w:rPr>
          <w:rFonts w:cs="Arial"/>
          <w:szCs w:val="24"/>
        </w:rPr>
      </w:pPr>
    </w:p>
    <w:p w14:paraId="5E3D76B0" w14:textId="77777777" w:rsidR="00333FAA" w:rsidRPr="00985158" w:rsidRDefault="00333FAA" w:rsidP="00333FAA">
      <w:pPr>
        <w:pStyle w:val="Heading2"/>
        <w:rPr>
          <w:rFonts w:ascii="Arial" w:hAnsi="Arial"/>
          <w:sz w:val="24"/>
          <w:szCs w:val="24"/>
        </w:rPr>
      </w:pPr>
      <w:r w:rsidRPr="00985158">
        <w:rPr>
          <w:rFonts w:ascii="Arial" w:hAnsi="Arial"/>
          <w:sz w:val="24"/>
          <w:szCs w:val="24"/>
        </w:rPr>
        <w:t>Implications of the Recommendation</w:t>
      </w:r>
    </w:p>
    <w:p w14:paraId="37AC8C03" w14:textId="7017B17C" w:rsidR="0054590F" w:rsidRPr="00985158" w:rsidRDefault="0054590F" w:rsidP="0054590F">
      <w:pPr>
        <w:rPr>
          <w:szCs w:val="24"/>
        </w:rPr>
      </w:pPr>
    </w:p>
    <w:p w14:paraId="0A1D6C5C" w14:textId="5A51AB44" w:rsidR="00CB02E5" w:rsidRDefault="001E7281" w:rsidP="004726C6">
      <w:pPr>
        <w:rPr>
          <w:szCs w:val="24"/>
        </w:rPr>
      </w:pPr>
      <w:r w:rsidRPr="00985158">
        <w:rPr>
          <w:szCs w:val="24"/>
        </w:rPr>
        <w:t>Smart Cards incur both costs and benefits.</w:t>
      </w:r>
      <w:r w:rsidR="007B296A">
        <w:rPr>
          <w:szCs w:val="24"/>
        </w:rPr>
        <w:t xml:space="preserve"> </w:t>
      </w:r>
      <w:r w:rsidRPr="00985158">
        <w:rPr>
          <w:szCs w:val="24"/>
        </w:rPr>
        <w:t>The former</w:t>
      </w:r>
      <w:r w:rsidR="00382B24">
        <w:rPr>
          <w:szCs w:val="24"/>
        </w:rPr>
        <w:t xml:space="preserve"> will depend on the functionality and means of issuing cards.</w:t>
      </w:r>
      <w:r w:rsidR="00CB02E5">
        <w:rPr>
          <w:szCs w:val="24"/>
        </w:rPr>
        <w:t xml:space="preserve"> In addition to the </w:t>
      </w:r>
      <w:r w:rsidR="007B296A">
        <w:rPr>
          <w:szCs w:val="24"/>
        </w:rPr>
        <w:t>benefits</w:t>
      </w:r>
      <w:r w:rsidR="00CB02E5">
        <w:rPr>
          <w:szCs w:val="24"/>
        </w:rPr>
        <w:t xml:space="preserve"> outlined above</w:t>
      </w:r>
      <w:r w:rsidR="00382B24">
        <w:rPr>
          <w:szCs w:val="24"/>
        </w:rPr>
        <w:t xml:space="preserve">, </w:t>
      </w:r>
      <w:r w:rsidR="00CB02E5">
        <w:rPr>
          <w:szCs w:val="24"/>
        </w:rPr>
        <w:t xml:space="preserve">the feasibility study </w:t>
      </w:r>
      <w:r w:rsidR="00382B24">
        <w:rPr>
          <w:szCs w:val="24"/>
        </w:rPr>
        <w:t xml:space="preserve">will </w:t>
      </w:r>
      <w:r w:rsidR="00CB02E5">
        <w:rPr>
          <w:szCs w:val="24"/>
        </w:rPr>
        <w:t xml:space="preserve">consider how the council targets access to its services through a card. </w:t>
      </w:r>
      <w:r w:rsidR="007B296A">
        <w:rPr>
          <w:szCs w:val="24"/>
        </w:rPr>
        <w:t xml:space="preserve">In addition to parking, this could also include </w:t>
      </w:r>
      <w:r w:rsidR="00CB02E5">
        <w:rPr>
          <w:szCs w:val="24"/>
        </w:rPr>
        <w:t xml:space="preserve">providing free </w:t>
      </w:r>
      <w:r w:rsidR="007B296A">
        <w:rPr>
          <w:szCs w:val="24"/>
        </w:rPr>
        <w:t>access to the council</w:t>
      </w:r>
      <w:r w:rsidR="00484E51">
        <w:rPr>
          <w:szCs w:val="24"/>
        </w:rPr>
        <w:t>’</w:t>
      </w:r>
      <w:r w:rsidR="007B296A">
        <w:rPr>
          <w:szCs w:val="24"/>
        </w:rPr>
        <w:t xml:space="preserve">s Recycling Centre and </w:t>
      </w:r>
      <w:r w:rsidR="00CB02E5">
        <w:rPr>
          <w:szCs w:val="24"/>
        </w:rPr>
        <w:t xml:space="preserve">charging non-residents. The council could consider targeting special </w:t>
      </w:r>
      <w:r w:rsidR="007B296A">
        <w:rPr>
          <w:szCs w:val="24"/>
        </w:rPr>
        <w:t xml:space="preserve">promotions at the Harrow Arts Centre to local residents. </w:t>
      </w:r>
    </w:p>
    <w:p w14:paraId="5BCD1ED6" w14:textId="77777777" w:rsidR="00CB02E5" w:rsidRDefault="00CB02E5" w:rsidP="004726C6">
      <w:pPr>
        <w:rPr>
          <w:szCs w:val="24"/>
        </w:rPr>
      </w:pPr>
    </w:p>
    <w:p w14:paraId="1A03B371" w14:textId="6599A910" w:rsidR="004726C6" w:rsidRDefault="00CB02E5" w:rsidP="004726C6">
      <w:pPr>
        <w:rPr>
          <w:szCs w:val="24"/>
        </w:rPr>
      </w:pPr>
      <w:r>
        <w:rPr>
          <w:szCs w:val="24"/>
        </w:rPr>
        <w:t>Key considerations include</w:t>
      </w:r>
      <w:r w:rsidR="000F2D08">
        <w:rPr>
          <w:szCs w:val="24"/>
        </w:rPr>
        <w:t>:</w:t>
      </w:r>
    </w:p>
    <w:p w14:paraId="1FC11495" w14:textId="6724F219" w:rsidR="00CB02E5" w:rsidRDefault="00CB02E5" w:rsidP="004726C6">
      <w:pPr>
        <w:pStyle w:val="ListParagraph"/>
        <w:numPr>
          <w:ilvl w:val="0"/>
          <w:numId w:val="10"/>
        </w:numPr>
        <w:rPr>
          <w:szCs w:val="24"/>
        </w:rPr>
      </w:pPr>
      <w:r>
        <w:rPr>
          <w:szCs w:val="24"/>
        </w:rPr>
        <w:t>The level and timing of integration between council services</w:t>
      </w:r>
    </w:p>
    <w:p w14:paraId="2658082E" w14:textId="5D945D03" w:rsidR="004726C6" w:rsidRDefault="004726C6" w:rsidP="004726C6">
      <w:pPr>
        <w:pStyle w:val="ListParagraph"/>
        <w:numPr>
          <w:ilvl w:val="0"/>
          <w:numId w:val="10"/>
        </w:numPr>
        <w:rPr>
          <w:szCs w:val="24"/>
        </w:rPr>
      </w:pPr>
      <w:r>
        <w:rPr>
          <w:szCs w:val="24"/>
        </w:rPr>
        <w:t>B</w:t>
      </w:r>
      <w:r w:rsidRPr="004726C6">
        <w:rPr>
          <w:szCs w:val="24"/>
        </w:rPr>
        <w:t>ulk buy</w:t>
      </w:r>
      <w:r>
        <w:rPr>
          <w:szCs w:val="24"/>
        </w:rPr>
        <w:t xml:space="preserve">ing </w:t>
      </w:r>
      <w:r w:rsidRPr="004726C6">
        <w:rPr>
          <w:szCs w:val="24"/>
        </w:rPr>
        <w:t>cards and issu</w:t>
      </w:r>
      <w:r>
        <w:rPr>
          <w:szCs w:val="24"/>
        </w:rPr>
        <w:t>ing to residents</w:t>
      </w:r>
    </w:p>
    <w:p w14:paraId="18B2107B" w14:textId="14FFE2B4" w:rsidR="004726C6" w:rsidRDefault="004726C6" w:rsidP="004726C6">
      <w:pPr>
        <w:pStyle w:val="ListParagraph"/>
        <w:numPr>
          <w:ilvl w:val="0"/>
          <w:numId w:val="10"/>
        </w:numPr>
        <w:rPr>
          <w:szCs w:val="24"/>
        </w:rPr>
      </w:pPr>
      <w:r>
        <w:rPr>
          <w:szCs w:val="24"/>
        </w:rPr>
        <w:t>Residents Self Ordering cards</w:t>
      </w:r>
    </w:p>
    <w:p w14:paraId="70BE246F" w14:textId="033EE137" w:rsidR="004726C6" w:rsidRDefault="004726C6" w:rsidP="004726C6">
      <w:pPr>
        <w:pStyle w:val="ListParagraph"/>
        <w:numPr>
          <w:ilvl w:val="0"/>
          <w:numId w:val="10"/>
        </w:numPr>
        <w:rPr>
          <w:szCs w:val="24"/>
        </w:rPr>
      </w:pPr>
      <w:r>
        <w:rPr>
          <w:szCs w:val="24"/>
        </w:rPr>
        <w:t xml:space="preserve">Design of the card. For </w:t>
      </w:r>
      <w:proofErr w:type="gramStart"/>
      <w:r w:rsidR="000F2D08">
        <w:rPr>
          <w:szCs w:val="24"/>
        </w:rPr>
        <w:t>example</w:t>
      </w:r>
      <w:proofErr w:type="gramEnd"/>
      <w:r>
        <w:rPr>
          <w:szCs w:val="24"/>
        </w:rPr>
        <w:t xml:space="preserve"> double sided, colour or black and white, photo ID. </w:t>
      </w:r>
    </w:p>
    <w:p w14:paraId="789E8DF7" w14:textId="77777777" w:rsidR="004726C6" w:rsidRDefault="004726C6" w:rsidP="004726C6">
      <w:pPr>
        <w:pStyle w:val="ListParagraph"/>
        <w:numPr>
          <w:ilvl w:val="0"/>
          <w:numId w:val="10"/>
        </w:numPr>
        <w:rPr>
          <w:szCs w:val="24"/>
        </w:rPr>
      </w:pPr>
      <w:r>
        <w:rPr>
          <w:szCs w:val="24"/>
        </w:rPr>
        <w:t>The level of integration required, for example parking, leisure, libraries, business directory, app.</w:t>
      </w:r>
    </w:p>
    <w:p w14:paraId="6320EA74" w14:textId="77777777" w:rsidR="004726C6" w:rsidRDefault="004726C6" w:rsidP="009E3714"/>
    <w:p w14:paraId="5C4B64BF" w14:textId="3CA67C02" w:rsidR="001E7281" w:rsidRDefault="004726C6" w:rsidP="004726C6">
      <w:r>
        <w:t xml:space="preserve">Other factors will include </w:t>
      </w:r>
      <w:r w:rsidR="00BC3E44">
        <w:t xml:space="preserve">Marketing and </w:t>
      </w:r>
      <w:r>
        <w:t>staff costs</w:t>
      </w:r>
      <w:r w:rsidR="00BC3E44">
        <w:t>.</w:t>
      </w:r>
      <w:r w:rsidR="009E3714">
        <w:t xml:space="preserve"> The latter is dependent on how the council wishes to allocate its existing staffing resources. For example, Hillingdon</w:t>
      </w:r>
      <w:r w:rsidR="00FF37A1">
        <w:t xml:space="preserve"> </w:t>
      </w:r>
      <w:r w:rsidR="00FF37A1" w:rsidRPr="00FF37A1">
        <w:t>have 5 administrators and 3 Customer Care supervisors working on the Hillingdon Residents</w:t>
      </w:r>
      <w:r w:rsidR="00582409">
        <w:t>’</w:t>
      </w:r>
      <w:r w:rsidR="00FF37A1" w:rsidRPr="00FF37A1">
        <w:t xml:space="preserve"> Card. Those staff are based in the Hillingdon Customer Access Service and their work is not solely related to the Hillingdon Car</w:t>
      </w:r>
      <w:r w:rsidR="00B70BE3">
        <w:t>d</w:t>
      </w:r>
      <w:r w:rsidR="00FF37A1" w:rsidRPr="00FF37A1">
        <w:t xml:space="preserve">. </w:t>
      </w:r>
    </w:p>
    <w:p w14:paraId="2577A010" w14:textId="77777777" w:rsidR="00382B24" w:rsidRDefault="00382B24" w:rsidP="004726C6"/>
    <w:p w14:paraId="7BD44C67" w14:textId="444988E5" w:rsidR="00B70BE3" w:rsidRDefault="00B70BE3" w:rsidP="004726C6">
      <w:r>
        <w:t xml:space="preserve">The answers to the above will determine the </w:t>
      </w:r>
      <w:r w:rsidR="00F92678">
        <w:t>cost</w:t>
      </w:r>
      <w:r>
        <w:t xml:space="preserve">. For </w:t>
      </w:r>
      <w:proofErr w:type="gramStart"/>
      <w:r>
        <w:t>example</w:t>
      </w:r>
      <w:proofErr w:type="gramEnd"/>
      <w:r>
        <w:t xml:space="preserve"> the integration of a card with parking, libraries, leisure and a business discounts directory will cost </w:t>
      </w:r>
      <w:r w:rsidR="00582409">
        <w:t xml:space="preserve">approx. </w:t>
      </w:r>
      <w:r>
        <w:t>£20,000</w:t>
      </w:r>
      <w:r w:rsidR="00582409">
        <w:t>, t</w:t>
      </w:r>
      <w:r>
        <w:t xml:space="preserve">he integration with parking </w:t>
      </w:r>
      <w:r w:rsidR="00582409">
        <w:t xml:space="preserve">approx. </w:t>
      </w:r>
      <w:r>
        <w:t>£5,000</w:t>
      </w:r>
      <w:r w:rsidR="00582409">
        <w:t>, and t</w:t>
      </w:r>
      <w:r>
        <w:t xml:space="preserve">he bulk purchase of 150,000 cards </w:t>
      </w:r>
      <w:r w:rsidR="00582409">
        <w:t xml:space="preserve">approx. </w:t>
      </w:r>
      <w:r>
        <w:t xml:space="preserve">£211,500 with added postage costs. Whilst issuing cards only to residents that self order could be less than a fifth of the cost, (subject to the number of people ordering cards). </w:t>
      </w:r>
    </w:p>
    <w:p w14:paraId="3DC1F852" w14:textId="5560273F" w:rsidR="00B70BE3" w:rsidRDefault="00B70BE3" w:rsidP="004726C6"/>
    <w:p w14:paraId="64CE8456" w14:textId="5E6E25D7" w:rsidR="00B70BE3" w:rsidRPr="00FF37A1" w:rsidRDefault="00B70BE3" w:rsidP="004726C6">
      <w:r>
        <w:t>The pricing schedule indicates that a card could be issued in less than 6 months. However, th</w:t>
      </w:r>
      <w:r w:rsidR="0032707B">
        <w:t>is does not account for integration with existing systems, which may or may not require new parking meters</w:t>
      </w:r>
      <w:r w:rsidR="0000222C">
        <w:t xml:space="preserve"> which can be a significant cost.</w:t>
      </w:r>
      <w:r w:rsidR="0032707B">
        <w:t xml:space="preserve"> </w:t>
      </w:r>
    </w:p>
    <w:p w14:paraId="593608FF" w14:textId="77777777" w:rsidR="00BC3E44" w:rsidRPr="00985158" w:rsidRDefault="00BC3E44" w:rsidP="00BC3E44"/>
    <w:p w14:paraId="534FF37E" w14:textId="48D94B43" w:rsidR="004372ED" w:rsidRDefault="0032707B" w:rsidP="005070C3">
      <w:pPr>
        <w:rPr>
          <w:szCs w:val="24"/>
        </w:rPr>
      </w:pPr>
      <w:r>
        <w:rPr>
          <w:szCs w:val="24"/>
        </w:rPr>
        <w:t xml:space="preserve">The </w:t>
      </w:r>
      <w:r w:rsidR="00FF37A1">
        <w:rPr>
          <w:szCs w:val="24"/>
        </w:rPr>
        <w:t xml:space="preserve">project team </w:t>
      </w:r>
      <w:r>
        <w:rPr>
          <w:szCs w:val="24"/>
        </w:rPr>
        <w:t xml:space="preserve">to develop the </w:t>
      </w:r>
      <w:r w:rsidR="00FF37A1">
        <w:rPr>
          <w:szCs w:val="24"/>
        </w:rPr>
        <w:t xml:space="preserve">feasibility study </w:t>
      </w:r>
      <w:r>
        <w:rPr>
          <w:szCs w:val="24"/>
        </w:rPr>
        <w:t xml:space="preserve">will provide more detailed scenarios outlining </w:t>
      </w:r>
      <w:r w:rsidR="00F92678">
        <w:rPr>
          <w:szCs w:val="24"/>
        </w:rPr>
        <w:t>costs</w:t>
      </w:r>
      <w:r>
        <w:rPr>
          <w:szCs w:val="24"/>
        </w:rPr>
        <w:t xml:space="preserve">, risks, and timescales linked to each option. </w:t>
      </w:r>
      <w:r w:rsidRPr="003E779C">
        <w:rPr>
          <w:szCs w:val="24"/>
        </w:rPr>
        <w:t xml:space="preserve">The team </w:t>
      </w:r>
      <w:r w:rsidR="00382B24" w:rsidRPr="003E779C">
        <w:rPr>
          <w:szCs w:val="24"/>
        </w:rPr>
        <w:t xml:space="preserve">will need to be resourced and could be </w:t>
      </w:r>
      <w:r w:rsidR="00FF37A1" w:rsidRPr="003E779C">
        <w:rPr>
          <w:szCs w:val="24"/>
        </w:rPr>
        <w:t xml:space="preserve">led by </w:t>
      </w:r>
      <w:r w:rsidR="002968ED">
        <w:rPr>
          <w:szCs w:val="24"/>
        </w:rPr>
        <w:t>a</w:t>
      </w:r>
      <w:r w:rsidR="00382B24" w:rsidRPr="003E779C">
        <w:rPr>
          <w:szCs w:val="24"/>
        </w:rPr>
        <w:t xml:space="preserve"> Project </w:t>
      </w:r>
      <w:r w:rsidR="0061380F">
        <w:rPr>
          <w:szCs w:val="24"/>
        </w:rPr>
        <w:t xml:space="preserve">Manager and </w:t>
      </w:r>
      <w:r w:rsidR="00BD56B5">
        <w:rPr>
          <w:szCs w:val="24"/>
        </w:rPr>
        <w:t>includes</w:t>
      </w:r>
      <w:r w:rsidR="0061380F">
        <w:rPr>
          <w:szCs w:val="24"/>
        </w:rPr>
        <w:t xml:space="preserve"> </w:t>
      </w:r>
      <w:r w:rsidR="00FF37A1" w:rsidRPr="003E779C">
        <w:rPr>
          <w:szCs w:val="24"/>
        </w:rPr>
        <w:t>Access Harrow</w:t>
      </w:r>
      <w:r w:rsidR="004372ED">
        <w:rPr>
          <w:szCs w:val="24"/>
        </w:rPr>
        <w:t>,</w:t>
      </w:r>
      <w:r w:rsidRPr="003E779C">
        <w:rPr>
          <w:szCs w:val="24"/>
        </w:rPr>
        <w:t xml:space="preserve"> </w:t>
      </w:r>
      <w:proofErr w:type="spellStart"/>
      <w:r w:rsidR="00BC3E44" w:rsidRPr="003E779C">
        <w:rPr>
          <w:szCs w:val="24"/>
        </w:rPr>
        <w:t>iDigital</w:t>
      </w:r>
      <w:proofErr w:type="spellEnd"/>
      <w:r w:rsidR="00BC3E44" w:rsidRPr="003E779C">
        <w:rPr>
          <w:szCs w:val="24"/>
        </w:rPr>
        <w:t xml:space="preserve"> Services, </w:t>
      </w:r>
      <w:r w:rsidR="0061380F">
        <w:rPr>
          <w:szCs w:val="24"/>
        </w:rPr>
        <w:t>Access</w:t>
      </w:r>
      <w:r w:rsidR="00BC3E44" w:rsidRPr="003E779C">
        <w:rPr>
          <w:szCs w:val="24"/>
        </w:rPr>
        <w:t xml:space="preserve">, Network Management (Parking), Economic Development, </w:t>
      </w:r>
      <w:r w:rsidR="00841EE1" w:rsidRPr="003E779C">
        <w:rPr>
          <w:szCs w:val="24"/>
        </w:rPr>
        <w:t xml:space="preserve">Libraries, Leisure, </w:t>
      </w:r>
      <w:r w:rsidR="00BC3E44" w:rsidRPr="003E779C">
        <w:rPr>
          <w:szCs w:val="24"/>
        </w:rPr>
        <w:t>Finance</w:t>
      </w:r>
      <w:r w:rsidR="00BC3E44">
        <w:rPr>
          <w:szCs w:val="24"/>
        </w:rPr>
        <w:t xml:space="preserve"> and Communications</w:t>
      </w:r>
      <w:r w:rsidR="00841EE1">
        <w:rPr>
          <w:szCs w:val="24"/>
        </w:rPr>
        <w:t xml:space="preserve">. The work will be informed through working with other boroughs with Smart Cards and with </w:t>
      </w:r>
      <w:proofErr w:type="spellStart"/>
      <w:r w:rsidR="00841EE1">
        <w:rPr>
          <w:szCs w:val="24"/>
        </w:rPr>
        <w:t>SmartCitizen</w:t>
      </w:r>
      <w:proofErr w:type="spellEnd"/>
      <w:r w:rsidR="00841EE1">
        <w:rPr>
          <w:szCs w:val="24"/>
        </w:rPr>
        <w:t xml:space="preserve">. The scope of the work will be </w:t>
      </w:r>
      <w:r w:rsidR="004372ED">
        <w:rPr>
          <w:szCs w:val="24"/>
        </w:rPr>
        <w:t xml:space="preserve">established by </w:t>
      </w:r>
      <w:r w:rsidR="00841EE1">
        <w:rPr>
          <w:szCs w:val="24"/>
        </w:rPr>
        <w:t>the Corporate Director</w:t>
      </w:r>
      <w:r w:rsidR="004372ED">
        <w:rPr>
          <w:szCs w:val="24"/>
        </w:rPr>
        <w:t xml:space="preserve"> in consultation </w:t>
      </w:r>
      <w:r w:rsidR="00841EE1">
        <w:rPr>
          <w:szCs w:val="24"/>
        </w:rPr>
        <w:t>with the Portfolio Holder. It is likely to include</w:t>
      </w:r>
      <w:r w:rsidR="004372ED">
        <w:rPr>
          <w:szCs w:val="24"/>
        </w:rPr>
        <w:t xml:space="preserve">: </w:t>
      </w:r>
    </w:p>
    <w:p w14:paraId="68AE31CD" w14:textId="77777777" w:rsidR="004372ED" w:rsidRDefault="004372ED" w:rsidP="005070C3">
      <w:pPr>
        <w:rPr>
          <w:szCs w:val="24"/>
        </w:rPr>
      </w:pPr>
    </w:p>
    <w:p w14:paraId="3D70BDFB" w14:textId="3D3D0323" w:rsidR="005070C3" w:rsidRPr="000F2D08" w:rsidRDefault="005070C3" w:rsidP="000F2D08">
      <w:pPr>
        <w:pStyle w:val="ListParagraph"/>
        <w:numPr>
          <w:ilvl w:val="0"/>
          <w:numId w:val="13"/>
        </w:numPr>
        <w:rPr>
          <w:rFonts w:cs="Arial"/>
          <w:szCs w:val="24"/>
        </w:rPr>
      </w:pPr>
      <w:r w:rsidRPr="000F2D08">
        <w:rPr>
          <w:rFonts w:cs="Arial"/>
          <w:szCs w:val="24"/>
        </w:rPr>
        <w:t>Electronic systems integration &amp; implementation. This would include Card Types, Data Protection, Apps, Parking, Libraries, Leisure, integration with wider customer services through Access Harrow and potentially garden waste, Card Encoding and Distribution.</w:t>
      </w:r>
    </w:p>
    <w:p w14:paraId="24FDEBB5" w14:textId="77777777" w:rsidR="00841EE1" w:rsidRDefault="00841EE1" w:rsidP="005070C3">
      <w:pPr>
        <w:tabs>
          <w:tab w:val="left" w:pos="165"/>
        </w:tabs>
        <w:jc w:val="both"/>
        <w:rPr>
          <w:rFonts w:cs="Arial"/>
          <w:szCs w:val="24"/>
        </w:rPr>
      </w:pPr>
    </w:p>
    <w:p w14:paraId="258480B5" w14:textId="2B394B5E" w:rsidR="005070C3" w:rsidRPr="000F2D08" w:rsidRDefault="005070C3" w:rsidP="000F2D08">
      <w:pPr>
        <w:pStyle w:val="ListParagraph"/>
        <w:numPr>
          <w:ilvl w:val="0"/>
          <w:numId w:val="13"/>
        </w:numPr>
        <w:tabs>
          <w:tab w:val="left" w:pos="165"/>
        </w:tabs>
        <w:jc w:val="both"/>
        <w:rPr>
          <w:rFonts w:cs="Arial"/>
          <w:szCs w:val="24"/>
        </w:rPr>
      </w:pPr>
      <w:r w:rsidRPr="000F2D08">
        <w:rPr>
          <w:rFonts w:cs="Arial"/>
          <w:szCs w:val="24"/>
        </w:rPr>
        <w:t xml:space="preserve">Business analysis; Customer Base, differential charging between residents and non-residents ad impact on income, method of distribution. Procurement opportunities to collaborate with other boroughs on the design, purchasing and distribution of Smart resident cards. </w:t>
      </w:r>
    </w:p>
    <w:p w14:paraId="674A5B65" w14:textId="77777777" w:rsidR="005070C3" w:rsidRPr="00985158" w:rsidRDefault="005070C3" w:rsidP="005070C3">
      <w:pPr>
        <w:rPr>
          <w:rFonts w:cs="Arial"/>
          <w:szCs w:val="24"/>
        </w:rPr>
      </w:pPr>
    </w:p>
    <w:p w14:paraId="39B1C8A6" w14:textId="77777777" w:rsidR="005070C3" w:rsidRPr="000F2D08" w:rsidRDefault="005070C3" w:rsidP="000F2D08">
      <w:pPr>
        <w:pStyle w:val="ListParagraph"/>
        <w:numPr>
          <w:ilvl w:val="0"/>
          <w:numId w:val="13"/>
        </w:numPr>
        <w:rPr>
          <w:rFonts w:cs="Arial"/>
          <w:szCs w:val="24"/>
        </w:rPr>
      </w:pPr>
      <w:r w:rsidRPr="000F2D08">
        <w:rPr>
          <w:rFonts w:cs="Arial"/>
          <w:szCs w:val="24"/>
        </w:rPr>
        <w:t xml:space="preserve">Project </w:t>
      </w:r>
      <w:proofErr w:type="gramStart"/>
      <w:r w:rsidRPr="000F2D08">
        <w:rPr>
          <w:rFonts w:cs="Arial"/>
          <w:szCs w:val="24"/>
        </w:rPr>
        <w:t>management;</w:t>
      </w:r>
      <w:proofErr w:type="gramEnd"/>
      <w:r w:rsidRPr="000F2D08">
        <w:rPr>
          <w:rFonts w:cs="Arial"/>
          <w:szCs w:val="24"/>
        </w:rPr>
        <w:t xml:space="preserve"> determining where the development and ongoing management for the development and delivery of a card should sit. </w:t>
      </w:r>
    </w:p>
    <w:p w14:paraId="549E6E43" w14:textId="77777777" w:rsidR="005070C3" w:rsidRPr="00985158" w:rsidRDefault="005070C3" w:rsidP="005070C3">
      <w:pPr>
        <w:rPr>
          <w:rFonts w:cs="Arial"/>
          <w:szCs w:val="24"/>
        </w:rPr>
      </w:pPr>
    </w:p>
    <w:p w14:paraId="30C619DB" w14:textId="479BF12A" w:rsidR="005070C3" w:rsidRPr="000F2D08" w:rsidRDefault="005070C3" w:rsidP="000F2D08">
      <w:pPr>
        <w:pStyle w:val="ListParagraph"/>
        <w:numPr>
          <w:ilvl w:val="0"/>
          <w:numId w:val="13"/>
        </w:numPr>
        <w:rPr>
          <w:rFonts w:cs="Arial"/>
          <w:szCs w:val="24"/>
        </w:rPr>
      </w:pPr>
      <w:r w:rsidRPr="000F2D08">
        <w:rPr>
          <w:rFonts w:cs="Arial"/>
          <w:szCs w:val="24"/>
        </w:rPr>
        <w:t>Equality Impact Assessment</w:t>
      </w:r>
      <w:r w:rsidR="00DB0AFF" w:rsidRPr="000F2D08">
        <w:rPr>
          <w:rFonts w:cs="Arial"/>
          <w:szCs w:val="24"/>
        </w:rPr>
        <w:t>, to identify how</w:t>
      </w:r>
      <w:r w:rsidR="00841EE1" w:rsidRPr="000F2D08">
        <w:rPr>
          <w:rFonts w:cs="Arial"/>
          <w:szCs w:val="24"/>
        </w:rPr>
        <w:t xml:space="preserve"> to maximise the benefits of a Harrow Card. </w:t>
      </w:r>
    </w:p>
    <w:p w14:paraId="73EB22A5" w14:textId="1E9D198A" w:rsidR="00DB0AFF" w:rsidRPr="00985158" w:rsidRDefault="00DB0AFF" w:rsidP="005070C3">
      <w:pPr>
        <w:rPr>
          <w:rFonts w:cs="Arial"/>
          <w:szCs w:val="24"/>
        </w:rPr>
      </w:pPr>
    </w:p>
    <w:p w14:paraId="2C07510F" w14:textId="77777777" w:rsidR="00841EE1" w:rsidRPr="00985158" w:rsidRDefault="00841EE1" w:rsidP="0054590F">
      <w:pPr>
        <w:rPr>
          <w:b/>
          <w:szCs w:val="24"/>
        </w:rPr>
      </w:pPr>
    </w:p>
    <w:p w14:paraId="12B2B7E2" w14:textId="77777777" w:rsidR="00333FAA" w:rsidRPr="00985158" w:rsidRDefault="00333FAA" w:rsidP="0054590F">
      <w:pPr>
        <w:pStyle w:val="Heading4"/>
        <w:tabs>
          <w:tab w:val="left" w:pos="3600"/>
        </w:tabs>
        <w:rPr>
          <w:szCs w:val="24"/>
        </w:rPr>
      </w:pPr>
      <w:r w:rsidRPr="00985158">
        <w:rPr>
          <w:szCs w:val="24"/>
        </w:rPr>
        <w:t>Performance Issues</w:t>
      </w:r>
    </w:p>
    <w:p w14:paraId="49A58BA9" w14:textId="77777777" w:rsidR="00841EE1" w:rsidRDefault="00841EE1" w:rsidP="353475EB">
      <w:pPr>
        <w:rPr>
          <w:szCs w:val="24"/>
        </w:rPr>
      </w:pPr>
    </w:p>
    <w:p w14:paraId="6357DEAA" w14:textId="66CF5D25" w:rsidR="00841EE1" w:rsidRDefault="00841EE1" w:rsidP="353475EB">
      <w:pPr>
        <w:rPr>
          <w:szCs w:val="24"/>
        </w:rPr>
      </w:pPr>
      <w:r>
        <w:rPr>
          <w:szCs w:val="24"/>
        </w:rPr>
        <w:t>Key Performance Indicators will include</w:t>
      </w:r>
    </w:p>
    <w:p w14:paraId="302EDF2B" w14:textId="77777777" w:rsidR="00841EE1" w:rsidRPr="00FF37A1" w:rsidRDefault="00841EE1" w:rsidP="00FF37A1">
      <w:pPr>
        <w:pStyle w:val="ListParagraph"/>
        <w:numPr>
          <w:ilvl w:val="0"/>
          <w:numId w:val="11"/>
        </w:numPr>
        <w:rPr>
          <w:szCs w:val="24"/>
        </w:rPr>
      </w:pPr>
      <w:r w:rsidRPr="00FF37A1">
        <w:rPr>
          <w:szCs w:val="24"/>
        </w:rPr>
        <w:t>Number of cards issued and Apps downloaded</w:t>
      </w:r>
    </w:p>
    <w:p w14:paraId="47F905C1" w14:textId="77777777" w:rsidR="00841EE1" w:rsidRPr="00FF37A1" w:rsidRDefault="00841EE1" w:rsidP="00FF37A1">
      <w:pPr>
        <w:pStyle w:val="ListParagraph"/>
        <w:numPr>
          <w:ilvl w:val="0"/>
          <w:numId w:val="11"/>
        </w:numPr>
        <w:rPr>
          <w:szCs w:val="24"/>
        </w:rPr>
      </w:pPr>
      <w:r w:rsidRPr="00FF37A1">
        <w:rPr>
          <w:szCs w:val="24"/>
        </w:rPr>
        <w:t>Active Card</w:t>
      </w:r>
    </w:p>
    <w:p w14:paraId="5AD43FB3" w14:textId="77777777" w:rsidR="00841EE1" w:rsidRPr="00FF37A1" w:rsidRDefault="00841EE1" w:rsidP="00FF37A1">
      <w:pPr>
        <w:pStyle w:val="ListParagraph"/>
        <w:numPr>
          <w:ilvl w:val="0"/>
          <w:numId w:val="11"/>
        </w:numPr>
        <w:rPr>
          <w:szCs w:val="24"/>
        </w:rPr>
      </w:pPr>
      <w:r w:rsidRPr="00FF37A1">
        <w:rPr>
          <w:szCs w:val="24"/>
        </w:rPr>
        <w:t>Number of transactions</w:t>
      </w:r>
    </w:p>
    <w:p w14:paraId="40E6EDA0" w14:textId="77777777" w:rsidR="00841EE1" w:rsidRPr="00FF37A1" w:rsidRDefault="00841EE1" w:rsidP="00FF37A1">
      <w:pPr>
        <w:pStyle w:val="ListParagraph"/>
        <w:numPr>
          <w:ilvl w:val="0"/>
          <w:numId w:val="11"/>
        </w:numPr>
        <w:rPr>
          <w:szCs w:val="24"/>
        </w:rPr>
      </w:pPr>
      <w:r w:rsidRPr="00FF37A1">
        <w:rPr>
          <w:szCs w:val="24"/>
        </w:rPr>
        <w:t>Number of businesses promoting local offers</w:t>
      </w:r>
    </w:p>
    <w:p w14:paraId="3C3551B9" w14:textId="4F782B81" w:rsidR="00841EE1" w:rsidRPr="00FF37A1" w:rsidRDefault="00841EE1" w:rsidP="00FF37A1">
      <w:pPr>
        <w:pStyle w:val="ListParagraph"/>
        <w:numPr>
          <w:ilvl w:val="0"/>
          <w:numId w:val="11"/>
        </w:numPr>
        <w:rPr>
          <w:szCs w:val="24"/>
        </w:rPr>
      </w:pPr>
      <w:r w:rsidRPr="00FF37A1">
        <w:rPr>
          <w:szCs w:val="24"/>
        </w:rPr>
        <w:t xml:space="preserve">Number of offers redeemed (including one hour free parking redemptions) </w:t>
      </w:r>
    </w:p>
    <w:p w14:paraId="0CDAFD1F" w14:textId="77777777" w:rsidR="00714BEE" w:rsidRPr="00985158" w:rsidRDefault="00714BEE" w:rsidP="001C7E35">
      <w:pPr>
        <w:tabs>
          <w:tab w:val="left" w:pos="7245"/>
        </w:tabs>
        <w:rPr>
          <w:i/>
          <w:szCs w:val="24"/>
        </w:rPr>
      </w:pPr>
    </w:p>
    <w:p w14:paraId="482D5093" w14:textId="77777777" w:rsidR="00333FAA" w:rsidRPr="00985158" w:rsidRDefault="00333FAA" w:rsidP="0054590F">
      <w:pPr>
        <w:pStyle w:val="Heading4"/>
        <w:rPr>
          <w:szCs w:val="24"/>
        </w:rPr>
      </w:pPr>
      <w:r w:rsidRPr="00985158">
        <w:rPr>
          <w:szCs w:val="24"/>
        </w:rPr>
        <w:t>Environmental Implications</w:t>
      </w:r>
    </w:p>
    <w:p w14:paraId="16F9C192" w14:textId="77777777" w:rsidR="00841EE1" w:rsidRDefault="00841EE1" w:rsidP="001C7E35">
      <w:pPr>
        <w:rPr>
          <w:szCs w:val="24"/>
        </w:rPr>
      </w:pPr>
    </w:p>
    <w:p w14:paraId="29BC4FFE" w14:textId="0030F632" w:rsidR="00330832" w:rsidRPr="00985158" w:rsidRDefault="00841EE1" w:rsidP="00841EE1">
      <w:pPr>
        <w:rPr>
          <w:rFonts w:ascii="Segoe UI" w:hAnsi="Segoe UI" w:cs="Segoe UI"/>
        </w:rPr>
      </w:pPr>
      <w:r>
        <w:rPr>
          <w:szCs w:val="24"/>
        </w:rPr>
        <w:t xml:space="preserve">The promotion of local shopping is a key tool to reduce distances travelled to businesses outside of the borough. </w:t>
      </w:r>
    </w:p>
    <w:p w14:paraId="37F9E206" w14:textId="77777777" w:rsidR="00B67B46" w:rsidRDefault="00B67B46" w:rsidP="00A1211C">
      <w:pPr>
        <w:pStyle w:val="Heading3"/>
        <w:spacing w:before="480" w:after="240"/>
        <w:rPr>
          <w:sz w:val="24"/>
          <w:szCs w:val="24"/>
        </w:rPr>
      </w:pPr>
    </w:p>
    <w:p w14:paraId="11F2AC04" w14:textId="7C50848C" w:rsidR="00333FAA" w:rsidRDefault="00333FAA" w:rsidP="00A1211C">
      <w:pPr>
        <w:pStyle w:val="Heading3"/>
        <w:spacing w:before="480" w:after="240"/>
        <w:rPr>
          <w:sz w:val="24"/>
          <w:szCs w:val="24"/>
        </w:rPr>
      </w:pPr>
      <w:r w:rsidRPr="00985158">
        <w:rPr>
          <w:sz w:val="24"/>
          <w:szCs w:val="24"/>
        </w:rPr>
        <w:lastRenderedPageBreak/>
        <w:t>Financial Implications</w:t>
      </w:r>
    </w:p>
    <w:p w14:paraId="3CBB725B" w14:textId="77777777" w:rsidR="00F90091" w:rsidRPr="00D1239C" w:rsidRDefault="00F90091" w:rsidP="00FF37A1">
      <w:r w:rsidRPr="00D1239C">
        <w:t xml:space="preserve">The cost of the feasibility study can be funded from the Capital Feasibility Reserve. </w:t>
      </w:r>
    </w:p>
    <w:p w14:paraId="7FE675BE" w14:textId="77777777" w:rsidR="00F90091" w:rsidRPr="00D1239C" w:rsidRDefault="00F90091" w:rsidP="00FF37A1"/>
    <w:p w14:paraId="55A13780" w14:textId="55D6BDF6" w:rsidR="00FB02C1" w:rsidRPr="00D1239C" w:rsidRDefault="00F90091" w:rsidP="00FB02C1">
      <w:r w:rsidRPr="00D1239C">
        <w:t>There is currently no budget provision for a Harrow Smart Card</w:t>
      </w:r>
      <w:r w:rsidR="00FB02C1" w:rsidRPr="00D1239C">
        <w:t xml:space="preserve">. Before setting up the card, the necessary actions will have to be identified and implemented to release the budget within the MTFS to fund the scheme to ensure no budget pressure. </w:t>
      </w:r>
    </w:p>
    <w:p w14:paraId="41D80CF8" w14:textId="77777777" w:rsidR="00333FAA" w:rsidRPr="00985158" w:rsidRDefault="00333FAA" w:rsidP="00FB02C1">
      <w:pPr>
        <w:pStyle w:val="Heading3"/>
        <w:spacing w:before="480" w:after="240"/>
        <w:ind w:left="0" w:firstLine="0"/>
        <w:rPr>
          <w:sz w:val="24"/>
          <w:szCs w:val="24"/>
        </w:rPr>
      </w:pPr>
      <w:r w:rsidRPr="00985158">
        <w:rPr>
          <w:sz w:val="24"/>
          <w:szCs w:val="24"/>
        </w:rPr>
        <w:t>Equalities implications</w:t>
      </w:r>
      <w:r w:rsidR="001C7E35" w:rsidRPr="00985158">
        <w:rPr>
          <w:sz w:val="24"/>
          <w:szCs w:val="24"/>
        </w:rPr>
        <w:t xml:space="preserve"> </w:t>
      </w:r>
      <w:r w:rsidRPr="00985158">
        <w:rPr>
          <w:sz w:val="24"/>
          <w:szCs w:val="24"/>
        </w:rPr>
        <w:t>/</w:t>
      </w:r>
      <w:r w:rsidR="001C7E35" w:rsidRPr="00985158">
        <w:rPr>
          <w:sz w:val="24"/>
          <w:szCs w:val="24"/>
        </w:rPr>
        <w:t xml:space="preserve"> </w:t>
      </w:r>
      <w:r w:rsidRPr="00985158">
        <w:rPr>
          <w:sz w:val="24"/>
          <w:szCs w:val="24"/>
        </w:rPr>
        <w:t>Public Sector Equality Duty</w:t>
      </w:r>
    </w:p>
    <w:p w14:paraId="132244E9" w14:textId="30167319" w:rsidR="00FE17E2" w:rsidRPr="00985158" w:rsidRDefault="00DE1AB0" w:rsidP="576EF44A">
      <w:pPr>
        <w:rPr>
          <w:rStyle w:val="eop"/>
          <w:szCs w:val="24"/>
        </w:rPr>
      </w:pPr>
      <w:r>
        <w:rPr>
          <w:rStyle w:val="eop"/>
          <w:szCs w:val="24"/>
        </w:rPr>
        <w:t xml:space="preserve">A full Equality Impacts Assessment will be conducted in tandem with the options scoped out through the feasibility study. </w:t>
      </w:r>
    </w:p>
    <w:p w14:paraId="0E9ED8C5" w14:textId="1BF62E0F" w:rsidR="00333FAA" w:rsidRPr="00985158" w:rsidRDefault="00333FAA" w:rsidP="576EF44A">
      <w:pPr>
        <w:pStyle w:val="Heading3"/>
        <w:spacing w:before="480" w:after="240"/>
        <w:ind w:left="0" w:firstLine="0"/>
        <w:rPr>
          <w:rFonts w:eastAsia="Arial"/>
          <w:b w:val="0"/>
          <w:bCs w:val="0"/>
          <w:sz w:val="24"/>
          <w:szCs w:val="24"/>
        </w:rPr>
      </w:pPr>
      <w:r w:rsidRPr="00985158">
        <w:rPr>
          <w:sz w:val="24"/>
          <w:szCs w:val="24"/>
        </w:rPr>
        <w:t>Council Priorities</w:t>
      </w:r>
    </w:p>
    <w:p w14:paraId="2A5FA16B" w14:textId="4407BAC0" w:rsidR="00DE1AB0" w:rsidRPr="00DE1AB0" w:rsidRDefault="00DE1AB0" w:rsidP="00DE1AB0">
      <w:pPr>
        <w:autoSpaceDE w:val="0"/>
        <w:autoSpaceDN w:val="0"/>
        <w:spacing w:before="240"/>
        <w:rPr>
          <w:bCs/>
          <w:szCs w:val="24"/>
        </w:rPr>
      </w:pPr>
      <w:r w:rsidRPr="00DE1AB0">
        <w:rPr>
          <w:bCs/>
          <w:szCs w:val="24"/>
        </w:rPr>
        <w:t xml:space="preserve">The </w:t>
      </w:r>
      <w:r>
        <w:rPr>
          <w:bCs/>
          <w:szCs w:val="24"/>
        </w:rPr>
        <w:t xml:space="preserve">Harrow Card will support the council’s objective for a Thriving Economy. The provision of a card that is linked to accessing free one hours car parking and shopping offers will promote footfall and spend in Harrow’s High Streets. </w:t>
      </w:r>
      <w:r w:rsidR="00FD1146">
        <w:rPr>
          <w:bCs/>
          <w:szCs w:val="24"/>
        </w:rPr>
        <w:t xml:space="preserve">It will also help </w:t>
      </w:r>
      <w:r w:rsidR="000C18ED">
        <w:rPr>
          <w:bCs/>
          <w:szCs w:val="24"/>
        </w:rPr>
        <w:t>Tackling poverty and inequality by offer discounts to Harrow Residents to help deal with the increases in the cost of living.</w:t>
      </w:r>
    </w:p>
    <w:p w14:paraId="5514D939" w14:textId="1D8FFBB5" w:rsidR="00333FAA" w:rsidRPr="000F2D08" w:rsidRDefault="00333FAA" w:rsidP="000B7C66">
      <w:pPr>
        <w:pStyle w:val="Heading2"/>
        <w:spacing w:before="480" w:after="240"/>
      </w:pPr>
      <w:r w:rsidRPr="000F2D08">
        <w:t>Section 3 - Statutory Officer Clearance</w:t>
      </w:r>
    </w:p>
    <w:p w14:paraId="3B5D52F9" w14:textId="62F85F4D" w:rsidR="00A66326" w:rsidRPr="00570B61" w:rsidRDefault="00A66326" w:rsidP="00A66326">
      <w:pPr>
        <w:rPr>
          <w:szCs w:val="24"/>
        </w:rPr>
      </w:pPr>
      <w:r w:rsidRPr="00570B61">
        <w:rPr>
          <w:b/>
          <w:szCs w:val="24"/>
        </w:rPr>
        <w:t xml:space="preserve">Statutory Officer:  </w:t>
      </w:r>
      <w:r w:rsidR="00570B61" w:rsidRPr="00570B61">
        <w:rPr>
          <w:b/>
          <w:szCs w:val="24"/>
        </w:rPr>
        <w:t>Dawn Calvert</w:t>
      </w:r>
    </w:p>
    <w:p w14:paraId="06450070" w14:textId="27191E31" w:rsidR="00A66326" w:rsidRPr="00570B61" w:rsidRDefault="00A66326" w:rsidP="00A66326">
      <w:pPr>
        <w:rPr>
          <w:szCs w:val="24"/>
        </w:rPr>
      </w:pPr>
      <w:r w:rsidRPr="00570B61">
        <w:rPr>
          <w:szCs w:val="24"/>
        </w:rPr>
        <w:t xml:space="preserve">Signed </w:t>
      </w:r>
      <w:r w:rsidR="00570B61" w:rsidRPr="00570B61">
        <w:rPr>
          <w:szCs w:val="24"/>
        </w:rPr>
        <w:t xml:space="preserve">off </w:t>
      </w:r>
      <w:r w:rsidRPr="00570B61">
        <w:rPr>
          <w:szCs w:val="24"/>
        </w:rPr>
        <w:t>by the Chief Financial Officer</w:t>
      </w:r>
    </w:p>
    <w:p w14:paraId="555021EF" w14:textId="2624DC08" w:rsidR="00A66326" w:rsidRPr="00570B61" w:rsidRDefault="00A66326" w:rsidP="00A66326">
      <w:pPr>
        <w:spacing w:after="480"/>
        <w:rPr>
          <w:szCs w:val="24"/>
        </w:rPr>
      </w:pPr>
      <w:r w:rsidRPr="00570B61">
        <w:rPr>
          <w:b/>
          <w:szCs w:val="24"/>
        </w:rPr>
        <w:t xml:space="preserve">Date: </w:t>
      </w:r>
      <w:r w:rsidR="007042BD" w:rsidRPr="00570B61">
        <w:rPr>
          <w:bCs/>
          <w:szCs w:val="24"/>
        </w:rPr>
        <w:t>17</w:t>
      </w:r>
      <w:r w:rsidR="007042BD" w:rsidRPr="00570B61">
        <w:rPr>
          <w:bCs/>
          <w:szCs w:val="24"/>
          <w:vertAlign w:val="superscript"/>
        </w:rPr>
        <w:t>th</w:t>
      </w:r>
      <w:r w:rsidR="007042BD" w:rsidRPr="00570B61">
        <w:rPr>
          <w:bCs/>
          <w:szCs w:val="24"/>
        </w:rPr>
        <w:t xml:space="preserve"> May</w:t>
      </w:r>
      <w:r w:rsidRPr="00570B61">
        <w:rPr>
          <w:b/>
          <w:szCs w:val="24"/>
        </w:rPr>
        <w:t xml:space="preserve"> </w:t>
      </w:r>
      <w:r w:rsidR="00570B61" w:rsidRPr="00570B61">
        <w:rPr>
          <w:bCs/>
          <w:szCs w:val="24"/>
        </w:rPr>
        <w:t>2022</w:t>
      </w:r>
    </w:p>
    <w:p w14:paraId="7E329E85" w14:textId="298E88DE" w:rsidR="00A66326" w:rsidRPr="00570B61" w:rsidRDefault="00A66326" w:rsidP="00A66326">
      <w:pPr>
        <w:rPr>
          <w:szCs w:val="24"/>
        </w:rPr>
      </w:pPr>
      <w:r w:rsidRPr="00570B61">
        <w:rPr>
          <w:b/>
          <w:szCs w:val="24"/>
        </w:rPr>
        <w:t xml:space="preserve">Statutory Officer:  </w:t>
      </w:r>
      <w:r w:rsidR="00570B61" w:rsidRPr="00570B61">
        <w:rPr>
          <w:b/>
          <w:szCs w:val="24"/>
        </w:rPr>
        <w:t>Hugh Peart</w:t>
      </w:r>
    </w:p>
    <w:p w14:paraId="76F84634" w14:textId="78EC3791" w:rsidR="00A66326" w:rsidRPr="00570B61" w:rsidRDefault="00A66326" w:rsidP="00A66326">
      <w:pPr>
        <w:rPr>
          <w:szCs w:val="24"/>
        </w:rPr>
      </w:pPr>
      <w:r w:rsidRPr="00570B61">
        <w:rPr>
          <w:szCs w:val="24"/>
        </w:rPr>
        <w:t xml:space="preserve">Signed </w:t>
      </w:r>
      <w:r w:rsidR="00570B61" w:rsidRPr="00570B61">
        <w:rPr>
          <w:szCs w:val="24"/>
        </w:rPr>
        <w:t xml:space="preserve">off </w:t>
      </w:r>
      <w:r w:rsidRPr="00570B61">
        <w:rPr>
          <w:szCs w:val="24"/>
        </w:rPr>
        <w:t>by the Monitoring Officer</w:t>
      </w:r>
    </w:p>
    <w:p w14:paraId="1AC0D358" w14:textId="184934DE" w:rsidR="00A66326" w:rsidRPr="00570B61" w:rsidRDefault="00A66326" w:rsidP="00A66326">
      <w:pPr>
        <w:spacing w:after="480"/>
        <w:rPr>
          <w:bCs/>
          <w:szCs w:val="24"/>
        </w:rPr>
      </w:pPr>
      <w:r w:rsidRPr="00570B61">
        <w:rPr>
          <w:b/>
          <w:szCs w:val="24"/>
        </w:rPr>
        <w:t xml:space="preserve">Date:  </w:t>
      </w:r>
      <w:r w:rsidR="007042BD" w:rsidRPr="00570B61">
        <w:rPr>
          <w:bCs/>
          <w:szCs w:val="24"/>
        </w:rPr>
        <w:t>17</w:t>
      </w:r>
      <w:r w:rsidR="007042BD" w:rsidRPr="00570B61">
        <w:rPr>
          <w:bCs/>
          <w:szCs w:val="24"/>
          <w:vertAlign w:val="superscript"/>
        </w:rPr>
        <w:t>th</w:t>
      </w:r>
      <w:r w:rsidR="007042BD" w:rsidRPr="00570B61">
        <w:rPr>
          <w:bCs/>
          <w:szCs w:val="24"/>
        </w:rPr>
        <w:t xml:space="preserve"> May</w:t>
      </w:r>
      <w:r w:rsidR="00570B61" w:rsidRPr="00570B61">
        <w:rPr>
          <w:bCs/>
          <w:szCs w:val="24"/>
        </w:rPr>
        <w:t xml:space="preserve"> 2022</w:t>
      </w:r>
    </w:p>
    <w:p w14:paraId="31D8FA55" w14:textId="4247F63D" w:rsidR="00BF5AFA" w:rsidRPr="00570B61" w:rsidRDefault="00BF5AFA" w:rsidP="00BF5AFA">
      <w:pPr>
        <w:rPr>
          <w:szCs w:val="24"/>
        </w:rPr>
      </w:pPr>
      <w:r w:rsidRPr="00570B61">
        <w:rPr>
          <w:b/>
          <w:szCs w:val="24"/>
        </w:rPr>
        <w:t xml:space="preserve">Chief Officer:  </w:t>
      </w:r>
      <w:r w:rsidR="00570B61" w:rsidRPr="00570B61">
        <w:rPr>
          <w:b/>
          <w:szCs w:val="24"/>
        </w:rPr>
        <w:t>Dipti Patel</w:t>
      </w:r>
    </w:p>
    <w:p w14:paraId="6C086558" w14:textId="4EAB7FC2" w:rsidR="00BF5AFA" w:rsidRPr="00570B61" w:rsidRDefault="00BF5AFA" w:rsidP="00BF5AFA">
      <w:pPr>
        <w:rPr>
          <w:szCs w:val="24"/>
        </w:rPr>
      </w:pPr>
      <w:r w:rsidRPr="00570B61">
        <w:rPr>
          <w:szCs w:val="24"/>
        </w:rPr>
        <w:t>Signed off by the Corporate Director</w:t>
      </w:r>
      <w:r w:rsidR="00323B24" w:rsidRPr="00570B61">
        <w:rPr>
          <w:szCs w:val="24"/>
        </w:rPr>
        <w:t xml:space="preserve"> </w:t>
      </w:r>
    </w:p>
    <w:p w14:paraId="5F67CDF0" w14:textId="071FEE63" w:rsidR="00BF5AFA" w:rsidRPr="00985158" w:rsidRDefault="00BF5AFA" w:rsidP="00BF5AFA">
      <w:pPr>
        <w:spacing w:after="480"/>
        <w:rPr>
          <w:szCs w:val="24"/>
        </w:rPr>
      </w:pPr>
      <w:r w:rsidRPr="00570B61">
        <w:rPr>
          <w:b/>
          <w:szCs w:val="24"/>
        </w:rPr>
        <w:t xml:space="preserve">Date: </w:t>
      </w:r>
      <w:r w:rsidR="007042BD" w:rsidRPr="00570B61">
        <w:rPr>
          <w:bCs/>
          <w:szCs w:val="24"/>
        </w:rPr>
        <w:t>18</w:t>
      </w:r>
      <w:r w:rsidR="007042BD" w:rsidRPr="00570B61">
        <w:rPr>
          <w:bCs/>
          <w:szCs w:val="24"/>
          <w:vertAlign w:val="superscript"/>
        </w:rPr>
        <w:t>th</w:t>
      </w:r>
      <w:r w:rsidR="007042BD" w:rsidRPr="00570B61">
        <w:rPr>
          <w:bCs/>
          <w:szCs w:val="24"/>
        </w:rPr>
        <w:t xml:space="preserve"> May</w:t>
      </w:r>
      <w:r w:rsidRPr="00570B61">
        <w:rPr>
          <w:b/>
          <w:szCs w:val="24"/>
        </w:rPr>
        <w:t xml:space="preserve"> </w:t>
      </w:r>
      <w:r w:rsidR="00570B61" w:rsidRPr="00570B61">
        <w:rPr>
          <w:bCs/>
          <w:szCs w:val="24"/>
        </w:rPr>
        <w:t>2022</w:t>
      </w:r>
    </w:p>
    <w:p w14:paraId="49F642A5" w14:textId="77777777" w:rsidR="000F2D08" w:rsidRDefault="000F2D08" w:rsidP="00842757">
      <w:pPr>
        <w:pStyle w:val="Heading2"/>
        <w:spacing w:before="480" w:after="240"/>
      </w:pPr>
    </w:p>
    <w:p w14:paraId="41E16C55" w14:textId="422614BC" w:rsidR="00333FAA" w:rsidRPr="000F2D08" w:rsidRDefault="00333FAA" w:rsidP="00842757">
      <w:pPr>
        <w:pStyle w:val="Heading2"/>
        <w:spacing w:before="480" w:after="240"/>
      </w:pPr>
      <w:r w:rsidRPr="000F2D08">
        <w:t xml:space="preserve">Section </w:t>
      </w:r>
      <w:r w:rsidR="00A20113" w:rsidRPr="000F2D08">
        <w:t>4</w:t>
      </w:r>
      <w:r w:rsidRPr="000F2D08">
        <w:t xml:space="preserve"> - Contact Details and Background Papers</w:t>
      </w:r>
    </w:p>
    <w:p w14:paraId="0005C0E4" w14:textId="794038E4" w:rsidR="00333FAA" w:rsidRPr="00985158" w:rsidRDefault="00333FAA" w:rsidP="00CC18AC">
      <w:pPr>
        <w:pStyle w:val="Infotext"/>
        <w:spacing w:after="240"/>
        <w:rPr>
          <w:sz w:val="24"/>
          <w:szCs w:val="24"/>
        </w:rPr>
      </w:pPr>
      <w:r w:rsidRPr="00985158">
        <w:rPr>
          <w:b/>
          <w:sz w:val="24"/>
          <w:szCs w:val="24"/>
        </w:rPr>
        <w:t xml:space="preserve">Contact:  </w:t>
      </w:r>
      <w:r w:rsidR="00DE1AB0" w:rsidRPr="00DE1AB0">
        <w:rPr>
          <w:sz w:val="24"/>
          <w:szCs w:val="24"/>
        </w:rPr>
        <w:t>Mark Billington</w:t>
      </w:r>
      <w:r w:rsidR="00DE1AB0">
        <w:rPr>
          <w:sz w:val="24"/>
          <w:szCs w:val="24"/>
        </w:rPr>
        <w:t xml:space="preserve">, Director Inclusive Economy Leisure and Culture </w:t>
      </w:r>
      <w:hyperlink r:id="rId13" w:history="1">
        <w:r w:rsidR="00DE1AB0" w:rsidRPr="00816795">
          <w:rPr>
            <w:rStyle w:val="Hyperlink"/>
            <w:sz w:val="24"/>
            <w:szCs w:val="24"/>
          </w:rPr>
          <w:t>mark.billington@harrow.gov.uk</w:t>
        </w:r>
      </w:hyperlink>
      <w:r w:rsidR="00DE1AB0">
        <w:rPr>
          <w:sz w:val="24"/>
          <w:szCs w:val="24"/>
        </w:rPr>
        <w:t xml:space="preserve"> </w:t>
      </w:r>
    </w:p>
    <w:p w14:paraId="3CCA5C3B" w14:textId="0860E111" w:rsidR="000D4E36" w:rsidRPr="00985158" w:rsidRDefault="000D4E36" w:rsidP="00ED6776">
      <w:pPr>
        <w:pStyle w:val="Infotext"/>
        <w:tabs>
          <w:tab w:val="left" w:pos="3768"/>
          <w:tab w:val="left" w:pos="4315"/>
        </w:tabs>
        <w:rPr>
          <w:rFonts w:cs="Arial"/>
          <w:i/>
          <w:sz w:val="24"/>
          <w:szCs w:val="24"/>
          <w:lang w:eastAsia="en-GB"/>
        </w:rPr>
      </w:pPr>
    </w:p>
    <w:sectPr w:rsidR="000D4E36" w:rsidRPr="00985158"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D7C9" w14:textId="77777777" w:rsidR="0069165D" w:rsidRDefault="0069165D">
      <w:r>
        <w:separator/>
      </w:r>
    </w:p>
  </w:endnote>
  <w:endnote w:type="continuationSeparator" w:id="0">
    <w:p w14:paraId="7ECF3D69" w14:textId="77777777" w:rsidR="0069165D" w:rsidRDefault="0069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0CDB" w14:textId="77777777" w:rsidR="0069165D" w:rsidRDefault="0069165D">
      <w:r>
        <w:separator/>
      </w:r>
    </w:p>
  </w:footnote>
  <w:footnote w:type="continuationSeparator" w:id="0">
    <w:p w14:paraId="52DD9E5F" w14:textId="77777777" w:rsidR="0069165D" w:rsidRDefault="0069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8B1335"/>
    <w:multiLevelType w:val="hybridMultilevel"/>
    <w:tmpl w:val="29E0B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14A560D"/>
    <w:multiLevelType w:val="hybridMultilevel"/>
    <w:tmpl w:val="360E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B0982"/>
    <w:multiLevelType w:val="hybridMultilevel"/>
    <w:tmpl w:val="33FA8736"/>
    <w:lvl w:ilvl="0" w:tplc="9C44866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F7055C"/>
    <w:multiLevelType w:val="hybridMultilevel"/>
    <w:tmpl w:val="A448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B7604"/>
    <w:multiLevelType w:val="hybridMultilevel"/>
    <w:tmpl w:val="A4BC287C"/>
    <w:lvl w:ilvl="0" w:tplc="919CAB78">
      <w:start w:val="1"/>
      <w:numFmt w:val="bullet"/>
      <w:lvlText w:val="●"/>
      <w:lvlJc w:val="left"/>
      <w:pPr>
        <w:tabs>
          <w:tab w:val="num" w:pos="720"/>
        </w:tabs>
        <w:ind w:left="720" w:hanging="360"/>
      </w:pPr>
      <w:rPr>
        <w:rFonts w:ascii="Arial" w:hAnsi="Arial" w:cs="Times New Roman" w:hint="default"/>
      </w:rPr>
    </w:lvl>
    <w:lvl w:ilvl="1" w:tplc="A2FACA20">
      <w:start w:val="1"/>
      <w:numFmt w:val="bullet"/>
      <w:lvlText w:val="●"/>
      <w:lvlJc w:val="left"/>
      <w:pPr>
        <w:tabs>
          <w:tab w:val="num" w:pos="1440"/>
        </w:tabs>
        <w:ind w:left="1440" w:hanging="360"/>
      </w:pPr>
      <w:rPr>
        <w:rFonts w:ascii="Arial" w:hAnsi="Arial" w:cs="Times New Roman" w:hint="default"/>
      </w:rPr>
    </w:lvl>
    <w:lvl w:ilvl="2" w:tplc="A0962F1C">
      <w:start w:val="1"/>
      <w:numFmt w:val="bullet"/>
      <w:lvlText w:val="●"/>
      <w:lvlJc w:val="left"/>
      <w:pPr>
        <w:tabs>
          <w:tab w:val="num" w:pos="2160"/>
        </w:tabs>
        <w:ind w:left="2160" w:hanging="360"/>
      </w:pPr>
      <w:rPr>
        <w:rFonts w:ascii="Arial" w:hAnsi="Arial" w:cs="Times New Roman" w:hint="default"/>
      </w:rPr>
    </w:lvl>
    <w:lvl w:ilvl="3" w:tplc="A9EC5696">
      <w:start w:val="1"/>
      <w:numFmt w:val="bullet"/>
      <w:lvlText w:val="●"/>
      <w:lvlJc w:val="left"/>
      <w:pPr>
        <w:tabs>
          <w:tab w:val="num" w:pos="2880"/>
        </w:tabs>
        <w:ind w:left="2880" w:hanging="360"/>
      </w:pPr>
      <w:rPr>
        <w:rFonts w:ascii="Arial" w:hAnsi="Arial" w:cs="Times New Roman" w:hint="default"/>
      </w:rPr>
    </w:lvl>
    <w:lvl w:ilvl="4" w:tplc="384E65A0">
      <w:start w:val="1"/>
      <w:numFmt w:val="bullet"/>
      <w:lvlText w:val="●"/>
      <w:lvlJc w:val="left"/>
      <w:pPr>
        <w:tabs>
          <w:tab w:val="num" w:pos="3600"/>
        </w:tabs>
        <w:ind w:left="3600" w:hanging="360"/>
      </w:pPr>
      <w:rPr>
        <w:rFonts w:ascii="Arial" w:hAnsi="Arial" w:cs="Times New Roman" w:hint="default"/>
      </w:rPr>
    </w:lvl>
    <w:lvl w:ilvl="5" w:tplc="34E21600">
      <w:start w:val="1"/>
      <w:numFmt w:val="bullet"/>
      <w:lvlText w:val="●"/>
      <w:lvlJc w:val="left"/>
      <w:pPr>
        <w:tabs>
          <w:tab w:val="num" w:pos="4320"/>
        </w:tabs>
        <w:ind w:left="4320" w:hanging="360"/>
      </w:pPr>
      <w:rPr>
        <w:rFonts w:ascii="Arial" w:hAnsi="Arial" w:cs="Times New Roman" w:hint="default"/>
      </w:rPr>
    </w:lvl>
    <w:lvl w:ilvl="6" w:tplc="760C3B3A">
      <w:start w:val="1"/>
      <w:numFmt w:val="bullet"/>
      <w:lvlText w:val="●"/>
      <w:lvlJc w:val="left"/>
      <w:pPr>
        <w:tabs>
          <w:tab w:val="num" w:pos="5040"/>
        </w:tabs>
        <w:ind w:left="5040" w:hanging="360"/>
      </w:pPr>
      <w:rPr>
        <w:rFonts w:ascii="Arial" w:hAnsi="Arial" w:cs="Times New Roman" w:hint="default"/>
      </w:rPr>
    </w:lvl>
    <w:lvl w:ilvl="7" w:tplc="A838E7C2">
      <w:start w:val="1"/>
      <w:numFmt w:val="bullet"/>
      <w:lvlText w:val="●"/>
      <w:lvlJc w:val="left"/>
      <w:pPr>
        <w:tabs>
          <w:tab w:val="num" w:pos="5760"/>
        </w:tabs>
        <w:ind w:left="5760" w:hanging="360"/>
      </w:pPr>
      <w:rPr>
        <w:rFonts w:ascii="Arial" w:hAnsi="Arial" w:cs="Times New Roman" w:hint="default"/>
      </w:rPr>
    </w:lvl>
    <w:lvl w:ilvl="8" w:tplc="8244057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CD01377"/>
    <w:multiLevelType w:val="hybridMultilevel"/>
    <w:tmpl w:val="DD9E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0"/>
  </w:num>
  <w:num w:numId="6">
    <w:abstractNumId w:val="5"/>
  </w:num>
  <w:num w:numId="7">
    <w:abstractNumId w:val="7"/>
  </w:num>
  <w:num w:numId="8">
    <w:abstractNumId w:val="2"/>
  </w:num>
  <w:num w:numId="9">
    <w:abstractNumId w:val="10"/>
  </w:num>
  <w:num w:numId="10">
    <w:abstractNumId w:val="6"/>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22C"/>
    <w:rsid w:val="00010B5E"/>
    <w:rsid w:val="0004029A"/>
    <w:rsid w:val="000474E3"/>
    <w:rsid w:val="0006034E"/>
    <w:rsid w:val="00063783"/>
    <w:rsid w:val="00073765"/>
    <w:rsid w:val="000929A6"/>
    <w:rsid w:val="00095FA1"/>
    <w:rsid w:val="000A5A53"/>
    <w:rsid w:val="000B5015"/>
    <w:rsid w:val="000B788F"/>
    <w:rsid w:val="000B7C66"/>
    <w:rsid w:val="000C18ED"/>
    <w:rsid w:val="000C5426"/>
    <w:rsid w:val="000D4E36"/>
    <w:rsid w:val="000E62FE"/>
    <w:rsid w:val="000F2D08"/>
    <w:rsid w:val="00105B8A"/>
    <w:rsid w:val="001131C0"/>
    <w:rsid w:val="001161E4"/>
    <w:rsid w:val="00125A26"/>
    <w:rsid w:val="001472A8"/>
    <w:rsid w:val="0015376F"/>
    <w:rsid w:val="0015394C"/>
    <w:rsid w:val="00156409"/>
    <w:rsid w:val="001614E0"/>
    <w:rsid w:val="00171BD8"/>
    <w:rsid w:val="0017653E"/>
    <w:rsid w:val="00182B01"/>
    <w:rsid w:val="001840D2"/>
    <w:rsid w:val="001966D7"/>
    <w:rsid w:val="001C4D2E"/>
    <w:rsid w:val="001C7E35"/>
    <w:rsid w:val="001D674D"/>
    <w:rsid w:val="001E3C06"/>
    <w:rsid w:val="001E7281"/>
    <w:rsid w:val="001F0037"/>
    <w:rsid w:val="001F0BE9"/>
    <w:rsid w:val="001F15DD"/>
    <w:rsid w:val="00202D79"/>
    <w:rsid w:val="00205D2F"/>
    <w:rsid w:val="00215E8F"/>
    <w:rsid w:val="00221A93"/>
    <w:rsid w:val="002322BB"/>
    <w:rsid w:val="0023578D"/>
    <w:rsid w:val="00235FE2"/>
    <w:rsid w:val="00251254"/>
    <w:rsid w:val="002548D1"/>
    <w:rsid w:val="0027283B"/>
    <w:rsid w:val="0028019B"/>
    <w:rsid w:val="00282E73"/>
    <w:rsid w:val="00283CAB"/>
    <w:rsid w:val="0028525A"/>
    <w:rsid w:val="002968ED"/>
    <w:rsid w:val="002A3FEF"/>
    <w:rsid w:val="002B54A6"/>
    <w:rsid w:val="002F3EE9"/>
    <w:rsid w:val="00303795"/>
    <w:rsid w:val="00307F76"/>
    <w:rsid w:val="00321FBB"/>
    <w:rsid w:val="00323B24"/>
    <w:rsid w:val="0032707B"/>
    <w:rsid w:val="00330832"/>
    <w:rsid w:val="003313EA"/>
    <w:rsid w:val="00333FAA"/>
    <w:rsid w:val="003355D7"/>
    <w:rsid w:val="0036201C"/>
    <w:rsid w:val="00376768"/>
    <w:rsid w:val="00380F87"/>
    <w:rsid w:val="00382B24"/>
    <w:rsid w:val="00386B7C"/>
    <w:rsid w:val="003C270D"/>
    <w:rsid w:val="003E5FE9"/>
    <w:rsid w:val="003E779C"/>
    <w:rsid w:val="003F200F"/>
    <w:rsid w:val="003F3AFD"/>
    <w:rsid w:val="004076C8"/>
    <w:rsid w:val="004207E3"/>
    <w:rsid w:val="00421A4C"/>
    <w:rsid w:val="004238C2"/>
    <w:rsid w:val="00425871"/>
    <w:rsid w:val="0043290E"/>
    <w:rsid w:val="00435B5D"/>
    <w:rsid w:val="004363F7"/>
    <w:rsid w:val="004372ED"/>
    <w:rsid w:val="0044525C"/>
    <w:rsid w:val="004553F1"/>
    <w:rsid w:val="00471C1F"/>
    <w:rsid w:val="004726C6"/>
    <w:rsid w:val="004809FA"/>
    <w:rsid w:val="00484E51"/>
    <w:rsid w:val="004938A8"/>
    <w:rsid w:val="004C2D09"/>
    <w:rsid w:val="004C3002"/>
    <w:rsid w:val="004C4A75"/>
    <w:rsid w:val="004D2DA0"/>
    <w:rsid w:val="004E14A4"/>
    <w:rsid w:val="004F1B48"/>
    <w:rsid w:val="004F54BD"/>
    <w:rsid w:val="004F56C5"/>
    <w:rsid w:val="00506185"/>
    <w:rsid w:val="005070C3"/>
    <w:rsid w:val="005354D0"/>
    <w:rsid w:val="005416D8"/>
    <w:rsid w:val="0054172C"/>
    <w:rsid w:val="0054590F"/>
    <w:rsid w:val="005459EC"/>
    <w:rsid w:val="00563EA4"/>
    <w:rsid w:val="00570B61"/>
    <w:rsid w:val="005718B5"/>
    <w:rsid w:val="005808FB"/>
    <w:rsid w:val="005811F8"/>
    <w:rsid w:val="00582409"/>
    <w:rsid w:val="00582605"/>
    <w:rsid w:val="00591016"/>
    <w:rsid w:val="005B3F67"/>
    <w:rsid w:val="005D4A46"/>
    <w:rsid w:val="005D548F"/>
    <w:rsid w:val="005D6EF5"/>
    <w:rsid w:val="005E3A10"/>
    <w:rsid w:val="005E7509"/>
    <w:rsid w:val="00601D7F"/>
    <w:rsid w:val="00605A4C"/>
    <w:rsid w:val="0061380F"/>
    <w:rsid w:val="00645B8B"/>
    <w:rsid w:val="00655044"/>
    <w:rsid w:val="00661A25"/>
    <w:rsid w:val="006648CD"/>
    <w:rsid w:val="00666922"/>
    <w:rsid w:val="00670F17"/>
    <w:rsid w:val="006710C7"/>
    <w:rsid w:val="0069165D"/>
    <w:rsid w:val="00696A83"/>
    <w:rsid w:val="006C580A"/>
    <w:rsid w:val="006D1E69"/>
    <w:rsid w:val="006F057C"/>
    <w:rsid w:val="006F22DA"/>
    <w:rsid w:val="006F2EB3"/>
    <w:rsid w:val="007042BD"/>
    <w:rsid w:val="007116B1"/>
    <w:rsid w:val="00714BEE"/>
    <w:rsid w:val="00721215"/>
    <w:rsid w:val="007275CC"/>
    <w:rsid w:val="00737A22"/>
    <w:rsid w:val="007400CF"/>
    <w:rsid w:val="007B23FC"/>
    <w:rsid w:val="007B296A"/>
    <w:rsid w:val="007D0C1D"/>
    <w:rsid w:val="007D2000"/>
    <w:rsid w:val="007D4DBF"/>
    <w:rsid w:val="007E4732"/>
    <w:rsid w:val="007E4BA4"/>
    <w:rsid w:val="007F004E"/>
    <w:rsid w:val="007F335A"/>
    <w:rsid w:val="007F3A77"/>
    <w:rsid w:val="0080127A"/>
    <w:rsid w:val="00803104"/>
    <w:rsid w:val="00812901"/>
    <w:rsid w:val="008154B0"/>
    <w:rsid w:val="00826B9A"/>
    <w:rsid w:val="00841EE1"/>
    <w:rsid w:val="00842757"/>
    <w:rsid w:val="00843A34"/>
    <w:rsid w:val="00843CC2"/>
    <w:rsid w:val="0085266D"/>
    <w:rsid w:val="0089194D"/>
    <w:rsid w:val="008A5AA0"/>
    <w:rsid w:val="008E224D"/>
    <w:rsid w:val="00915F55"/>
    <w:rsid w:val="0092530B"/>
    <w:rsid w:val="009341A6"/>
    <w:rsid w:val="009379AC"/>
    <w:rsid w:val="0094208C"/>
    <w:rsid w:val="00942F17"/>
    <w:rsid w:val="00943236"/>
    <w:rsid w:val="00952CEF"/>
    <w:rsid w:val="00955421"/>
    <w:rsid w:val="00985158"/>
    <w:rsid w:val="00990E9C"/>
    <w:rsid w:val="00994542"/>
    <w:rsid w:val="00994908"/>
    <w:rsid w:val="009B160B"/>
    <w:rsid w:val="009C237B"/>
    <w:rsid w:val="009C4DD1"/>
    <w:rsid w:val="009E3714"/>
    <w:rsid w:val="009E5A93"/>
    <w:rsid w:val="009F3154"/>
    <w:rsid w:val="00A1211C"/>
    <w:rsid w:val="00A136C7"/>
    <w:rsid w:val="00A20113"/>
    <w:rsid w:val="00A20D78"/>
    <w:rsid w:val="00A2215F"/>
    <w:rsid w:val="00A22839"/>
    <w:rsid w:val="00A23E19"/>
    <w:rsid w:val="00A33185"/>
    <w:rsid w:val="00A53B04"/>
    <w:rsid w:val="00A661F4"/>
    <w:rsid w:val="00A66326"/>
    <w:rsid w:val="00A7271A"/>
    <w:rsid w:val="00A74D79"/>
    <w:rsid w:val="00A81E19"/>
    <w:rsid w:val="00A85235"/>
    <w:rsid w:val="00A9723B"/>
    <w:rsid w:val="00AB795F"/>
    <w:rsid w:val="00AC6312"/>
    <w:rsid w:val="00AD1E77"/>
    <w:rsid w:val="00AD6D80"/>
    <w:rsid w:val="00B1160D"/>
    <w:rsid w:val="00B139FB"/>
    <w:rsid w:val="00B444E6"/>
    <w:rsid w:val="00B52011"/>
    <w:rsid w:val="00B53EFF"/>
    <w:rsid w:val="00B54AFA"/>
    <w:rsid w:val="00B671A4"/>
    <w:rsid w:val="00B67B46"/>
    <w:rsid w:val="00B70BE3"/>
    <w:rsid w:val="00B71562"/>
    <w:rsid w:val="00B804E8"/>
    <w:rsid w:val="00B93778"/>
    <w:rsid w:val="00BC206C"/>
    <w:rsid w:val="00BC3E44"/>
    <w:rsid w:val="00BC431A"/>
    <w:rsid w:val="00BD56B5"/>
    <w:rsid w:val="00BF5AFA"/>
    <w:rsid w:val="00C01A35"/>
    <w:rsid w:val="00C03772"/>
    <w:rsid w:val="00C04EDA"/>
    <w:rsid w:val="00C119A2"/>
    <w:rsid w:val="00C53F1A"/>
    <w:rsid w:val="00C57267"/>
    <w:rsid w:val="00C616FF"/>
    <w:rsid w:val="00C62B63"/>
    <w:rsid w:val="00C72B5B"/>
    <w:rsid w:val="00C7755D"/>
    <w:rsid w:val="00C869F3"/>
    <w:rsid w:val="00CA6AA6"/>
    <w:rsid w:val="00CB02E5"/>
    <w:rsid w:val="00CC18AC"/>
    <w:rsid w:val="00CD7D5D"/>
    <w:rsid w:val="00CF0621"/>
    <w:rsid w:val="00CF0FC4"/>
    <w:rsid w:val="00CF6932"/>
    <w:rsid w:val="00D01FE3"/>
    <w:rsid w:val="00D0381E"/>
    <w:rsid w:val="00D06CA3"/>
    <w:rsid w:val="00D07F46"/>
    <w:rsid w:val="00D1239C"/>
    <w:rsid w:val="00D170E5"/>
    <w:rsid w:val="00D37F2F"/>
    <w:rsid w:val="00D415B9"/>
    <w:rsid w:val="00D448D8"/>
    <w:rsid w:val="00D528E8"/>
    <w:rsid w:val="00D771D0"/>
    <w:rsid w:val="00D835CF"/>
    <w:rsid w:val="00DA176F"/>
    <w:rsid w:val="00DA26FB"/>
    <w:rsid w:val="00DA36BE"/>
    <w:rsid w:val="00DB0AFF"/>
    <w:rsid w:val="00DB5E2F"/>
    <w:rsid w:val="00DB6C3D"/>
    <w:rsid w:val="00DC5ACF"/>
    <w:rsid w:val="00DD3573"/>
    <w:rsid w:val="00DD7468"/>
    <w:rsid w:val="00DE1AB0"/>
    <w:rsid w:val="00DE25E9"/>
    <w:rsid w:val="00DE71D3"/>
    <w:rsid w:val="00DE72CF"/>
    <w:rsid w:val="00DF08A0"/>
    <w:rsid w:val="00E11F38"/>
    <w:rsid w:val="00E13BEF"/>
    <w:rsid w:val="00E70760"/>
    <w:rsid w:val="00E9253C"/>
    <w:rsid w:val="00EB3CF0"/>
    <w:rsid w:val="00EB45B5"/>
    <w:rsid w:val="00EB5E57"/>
    <w:rsid w:val="00EB61DB"/>
    <w:rsid w:val="00EC5A9E"/>
    <w:rsid w:val="00ED1AD0"/>
    <w:rsid w:val="00ED4AFD"/>
    <w:rsid w:val="00ED6776"/>
    <w:rsid w:val="00EE4FBE"/>
    <w:rsid w:val="00F038A1"/>
    <w:rsid w:val="00F06E4E"/>
    <w:rsid w:val="00F238E0"/>
    <w:rsid w:val="00F2465A"/>
    <w:rsid w:val="00F51E01"/>
    <w:rsid w:val="00F5649A"/>
    <w:rsid w:val="00F67DC5"/>
    <w:rsid w:val="00F70B5F"/>
    <w:rsid w:val="00F82342"/>
    <w:rsid w:val="00F86724"/>
    <w:rsid w:val="00F877DB"/>
    <w:rsid w:val="00F90091"/>
    <w:rsid w:val="00F91AE4"/>
    <w:rsid w:val="00F92678"/>
    <w:rsid w:val="00F93C8B"/>
    <w:rsid w:val="00F95151"/>
    <w:rsid w:val="00F959DD"/>
    <w:rsid w:val="00F960D5"/>
    <w:rsid w:val="00FB02C1"/>
    <w:rsid w:val="00FB1231"/>
    <w:rsid w:val="00FB1A04"/>
    <w:rsid w:val="00FC1C5C"/>
    <w:rsid w:val="00FD1146"/>
    <w:rsid w:val="00FE17E2"/>
    <w:rsid w:val="00FF37A1"/>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CharCharCharChar0">
    <w:name w:val="Char Char Char Char"/>
    <w:basedOn w:val="Normal"/>
    <w:locked/>
    <w:rsid w:val="001131C0"/>
    <w:pPr>
      <w:spacing w:after="160" w:line="240" w:lineRule="exact"/>
    </w:pPr>
    <w:rPr>
      <w:rFonts w:ascii="Verdana" w:hAnsi="Verdana"/>
      <w:sz w:val="20"/>
      <w:lang w:val="en-US"/>
    </w:rPr>
  </w:style>
  <w:style w:type="paragraph" w:customStyle="1" w:styleId="CharCharCharChar1">
    <w:name w:val="Char Char Char Char"/>
    <w:basedOn w:val="Normal"/>
    <w:locked/>
    <w:rsid w:val="005070C3"/>
    <w:pPr>
      <w:spacing w:after="160" w:line="240" w:lineRule="exact"/>
    </w:pPr>
    <w:rPr>
      <w:rFonts w:ascii="Verdana" w:hAnsi="Verdana"/>
      <w:sz w:val="20"/>
      <w:lang w:val="en-US"/>
    </w:rPr>
  </w:style>
  <w:style w:type="character" w:styleId="CommentReference">
    <w:name w:val="annotation reference"/>
    <w:basedOn w:val="DefaultParagraphFont"/>
    <w:semiHidden/>
    <w:unhideWhenUsed/>
    <w:rsid w:val="00FB02C1"/>
    <w:rPr>
      <w:sz w:val="16"/>
      <w:szCs w:val="16"/>
    </w:rPr>
  </w:style>
  <w:style w:type="paragraph" w:styleId="CommentText">
    <w:name w:val="annotation text"/>
    <w:basedOn w:val="Normal"/>
    <w:link w:val="CommentTextChar"/>
    <w:semiHidden/>
    <w:unhideWhenUsed/>
    <w:rsid w:val="00FB02C1"/>
    <w:rPr>
      <w:sz w:val="20"/>
    </w:rPr>
  </w:style>
  <w:style w:type="character" w:customStyle="1" w:styleId="CommentTextChar">
    <w:name w:val="Comment Text Char"/>
    <w:basedOn w:val="DefaultParagraphFont"/>
    <w:link w:val="CommentText"/>
    <w:semiHidden/>
    <w:rsid w:val="00FB02C1"/>
    <w:rPr>
      <w:rFonts w:ascii="Arial" w:hAnsi="Arial"/>
      <w:lang w:eastAsia="en-US"/>
    </w:rPr>
  </w:style>
  <w:style w:type="paragraph" w:styleId="CommentSubject">
    <w:name w:val="annotation subject"/>
    <w:basedOn w:val="CommentText"/>
    <w:next w:val="CommentText"/>
    <w:link w:val="CommentSubjectChar"/>
    <w:semiHidden/>
    <w:unhideWhenUsed/>
    <w:rsid w:val="00FB02C1"/>
    <w:rPr>
      <w:b/>
      <w:bCs/>
    </w:rPr>
  </w:style>
  <w:style w:type="character" w:customStyle="1" w:styleId="CommentSubjectChar">
    <w:name w:val="Comment Subject Char"/>
    <w:basedOn w:val="CommentTextChar"/>
    <w:link w:val="CommentSubject"/>
    <w:semiHidden/>
    <w:rsid w:val="00FB02C1"/>
    <w:rPr>
      <w:rFonts w:ascii="Arial" w:hAnsi="Arial"/>
      <w:b/>
      <w:bCs/>
      <w:lang w:eastAsia="en-US"/>
    </w:rPr>
  </w:style>
  <w:style w:type="paragraph" w:styleId="Revision">
    <w:name w:val="Revision"/>
    <w:hidden/>
    <w:uiPriority w:val="99"/>
    <w:semiHidden/>
    <w:rsid w:val="00F2465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59340723">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25021964">
      <w:bodyDiv w:val="1"/>
      <w:marLeft w:val="0"/>
      <w:marRight w:val="0"/>
      <w:marTop w:val="0"/>
      <w:marBottom w:val="0"/>
      <w:divBdr>
        <w:top w:val="none" w:sz="0" w:space="0" w:color="auto"/>
        <w:left w:val="none" w:sz="0" w:space="0" w:color="auto"/>
        <w:bottom w:val="none" w:sz="0" w:space="0" w:color="auto"/>
        <w:right w:val="none" w:sz="0" w:space="0" w:color="auto"/>
      </w:divBdr>
    </w:div>
    <w:div w:id="1943806388">
      <w:bodyDiv w:val="1"/>
      <w:marLeft w:val="0"/>
      <w:marRight w:val="0"/>
      <w:marTop w:val="0"/>
      <w:marBottom w:val="0"/>
      <w:divBdr>
        <w:top w:val="none" w:sz="0" w:space="0" w:color="auto"/>
        <w:left w:val="none" w:sz="0" w:space="0" w:color="auto"/>
        <w:bottom w:val="none" w:sz="0" w:space="0" w:color="auto"/>
        <w:right w:val="none" w:sz="0" w:space="0" w:color="auto"/>
      </w:divBdr>
    </w:div>
    <w:div w:id="20647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k.billington@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0/xmlns/"/>
    <ds:schemaRef ds:uri="http://www.w3.org/2001/XMLSchema"/>
    <ds:schemaRef ds:uri="48fdd5af-7127-4349-9ef8-8ec3aedfe79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C69BDD45-1CD4-4961-A8C2-64DF469425CD}">
  <ds:schemaRefs>
    <ds:schemaRef ds:uri="http://schemas.openxmlformats.org/officeDocument/2006/bibliography"/>
    <ds:schemaRef ds:uri="http://www.w3.org/2000/xmlns/"/>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1526</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19</cp:revision>
  <cp:lastPrinted>2014-10-31T16:34:00Z</cp:lastPrinted>
  <dcterms:created xsi:type="dcterms:W3CDTF">2022-05-19T07:26:00Z</dcterms:created>
  <dcterms:modified xsi:type="dcterms:W3CDTF">2022-05-19T13:01:00Z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